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highlight w:val="none"/>
        </w:rPr>
      </w:pPr>
      <w:bookmarkStart w:id="0" w:name="_GoBack"/>
      <w:bookmarkEnd w:id="0"/>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20069</w:t>
      </w:r>
      <w:r>
        <w:rPr>
          <w:rFonts w:hint="eastAsia" w:ascii="黑体" w:eastAsia="黑体"/>
          <w:sz w:val="30"/>
          <w:szCs w:val="30"/>
          <w:highlight w:val="none"/>
        </w:rPr>
        <w:t>号</w:t>
      </w:r>
    </w:p>
    <w:p>
      <w:pPr>
        <w:spacing w:line="372" w:lineRule="auto"/>
        <w:jc w:val="center"/>
        <w:rPr>
          <w:rFonts w:ascii="宋体" w:hAnsi="宋体"/>
          <w:sz w:val="30"/>
          <w:szCs w:val="30"/>
          <w:highlight w:val="none"/>
        </w:rPr>
      </w:pPr>
      <w:r>
        <w:rPr>
          <w:rFonts w:hint="eastAsia" w:ascii="黑体" w:eastAsia="黑体"/>
          <w:sz w:val="30"/>
          <w:szCs w:val="30"/>
          <w:highlight w:val="none"/>
        </w:rPr>
        <w:t>开放式净值型银行理财计划风险揭示书</w:t>
      </w:r>
    </w:p>
    <w:p>
      <w:pPr>
        <w:adjustRightInd w:val="0"/>
        <w:snapToGrid w:val="0"/>
        <w:spacing w:before="240" w:line="30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0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，请在认购（申购）该理财产品前特别注意以下事项：</w:t>
      </w:r>
    </w:p>
    <w:p>
      <w:pPr>
        <w:adjustRightInd w:val="0"/>
        <w:snapToGrid w:val="0"/>
        <w:spacing w:line="30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您将认购（申购）的温州银行“金鹿理财</w:t>
      </w:r>
      <w:r>
        <w:rPr>
          <w:rFonts w:hint="eastAsia" w:ascii="宋体" w:hAnsi="宋体"/>
          <w:szCs w:val="21"/>
          <w:highlight w:val="none"/>
        </w:rPr>
        <w:t>-</w:t>
      </w:r>
      <w:r>
        <w:rPr>
          <w:rFonts w:hint="eastAsia"/>
          <w:szCs w:val="21"/>
          <w:highlight w:val="none"/>
        </w:rPr>
        <w:t>温盈”</w:t>
      </w:r>
      <w:r>
        <w:rPr>
          <w:rFonts w:hint="eastAsia"/>
          <w:color w:val="000000"/>
          <w:szCs w:val="21"/>
          <w:highlight w:val="none"/>
          <w:u w:val="single"/>
        </w:rPr>
        <w:t>20069</w:t>
      </w:r>
      <w:r>
        <w:rPr>
          <w:rFonts w:hint="eastAsia"/>
          <w:szCs w:val="21"/>
          <w:highlight w:val="none"/>
        </w:rPr>
        <w:t>号开放式净值型银行理财计划，投资类型属于</w:t>
      </w:r>
      <w:r>
        <w:rPr>
          <w:rFonts w:hint="eastAsia"/>
          <w:szCs w:val="21"/>
          <w:highlight w:val="none"/>
          <w:u w:val="single"/>
        </w:rPr>
        <w:t>固定收益类理财产品</w:t>
      </w:r>
      <w:r>
        <w:rPr>
          <w:rFonts w:hint="eastAsia"/>
          <w:szCs w:val="21"/>
          <w:highlight w:val="none"/>
        </w:rPr>
        <w:t>，运作模式为</w:t>
      </w:r>
      <w:r>
        <w:rPr>
          <w:rFonts w:hint="eastAsia"/>
          <w:szCs w:val="21"/>
          <w:highlight w:val="none"/>
          <w:u w:val="single"/>
        </w:rPr>
        <w:t>开放式净值型</w:t>
      </w:r>
      <w:r>
        <w:rPr>
          <w:rFonts w:hint="eastAsia"/>
          <w:szCs w:val="21"/>
          <w:highlight w:val="none"/>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highlight w:val="none"/>
        </w:rPr>
        <w:t>“金鹿理财-温盈”20069号开放式净值</w:t>
      </w:r>
      <w:r>
        <w:rPr>
          <w:rFonts w:hint="eastAsia"/>
          <w:szCs w:val="21"/>
          <w:highlight w:val="none"/>
        </w:rPr>
        <w:t>型（第i期）银行理财计划开放认购（申购）申请书》约定为准。</w:t>
      </w:r>
      <w:r>
        <w:rPr>
          <w:rFonts w:hint="eastAsia"/>
          <w:b/>
          <w:szCs w:val="21"/>
          <w:highlight w:val="none"/>
        </w:rPr>
        <w:t>根据温</w:t>
      </w:r>
      <w:r>
        <w:rPr>
          <w:rFonts w:hint="eastAsia" w:ascii="宋体" w:hAnsi="宋体"/>
          <w:b/>
          <w:szCs w:val="21"/>
          <w:highlight w:val="none"/>
        </w:rPr>
        <w:t>州银行内部风险评级标准，该产品的风险等级为</w:t>
      </w:r>
      <w:r>
        <w:rPr>
          <w:rFonts w:ascii="宋体" w:hAnsi="宋体"/>
          <w:b/>
          <w:szCs w:val="21"/>
          <w:highlight w:val="none"/>
          <w:u w:val="single"/>
        </w:rPr>
        <w:t>PR2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（稳健型）：总体风险程度较低，银行不承诺本金保障，产品收益随投资表现变动。业绩比较基准/过往业绩不是预期收益率，不代表产品的未来表现和实际收益，不构成对产品收益的承诺。</w:t>
      </w:r>
      <w:r>
        <w:rPr>
          <w:rFonts w:hint="eastAsia" w:ascii="宋体" w:hAnsi="宋体"/>
          <w:szCs w:val="21"/>
          <w:highlight w:val="none"/>
        </w:rPr>
        <w:t>本理财产品适合客户：经温州银行评估为稳健型、平衡型、进取型、激进型的个人投资者。</w:t>
      </w:r>
      <w:r>
        <w:rPr>
          <w:rFonts w:hint="eastAsia" w:ascii="宋体" w:hAnsi="宋体"/>
          <w:b/>
          <w:bCs/>
          <w:szCs w:val="21"/>
          <w:highlight w:val="none"/>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highlight w:val="none"/>
        </w:rPr>
      </w:pPr>
      <w:r>
        <w:rPr>
          <w:rFonts w:hint="eastAsia" w:ascii="宋体" w:hAnsi="宋体"/>
          <w:color w:val="000000"/>
          <w:szCs w:val="21"/>
          <w:highlight w:val="none"/>
        </w:rPr>
        <w:t>三、本风险揭示书及《温州银行“金鹿理财-温盈”20069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理财计划合约》、《温州银行“金鹿理财-温盈”20069号开放式净值型银行理财计划产品说明书》、《温州银行“金鹿理财-温盈”20069号开放式净值型（第i期）银行理财计划开放认购（申购）申请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0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0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0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0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0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0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00" w:lineRule="auto"/>
        <w:jc w:val="center"/>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adjustRightInd/>
        <w:snapToGrid/>
        <w:spacing w:line="240" w:lineRule="auto"/>
        <w:jc w:val="left"/>
        <w:rPr>
          <w:rFonts w:hint="eastAsia" w:ascii="黑体" w:eastAsia="黑体"/>
          <w:sz w:val="30"/>
          <w:szCs w:val="30"/>
          <w:highlight w:val="none"/>
        </w:rPr>
      </w:pPr>
      <w:r>
        <w:rPr>
          <w:rFonts w:hint="eastAsia" w:ascii="黑体" w:eastAsia="黑体"/>
          <w:sz w:val="30"/>
          <w:szCs w:val="30"/>
          <w:highlight w:val="none"/>
        </w:rPr>
        <w:br w:type="page"/>
      </w:r>
    </w:p>
    <w:p>
      <w:pPr>
        <w:adjustRightInd w:val="0"/>
        <w:snapToGrid w:val="0"/>
        <w:spacing w:line="322" w:lineRule="auto"/>
        <w:jc w:val="center"/>
        <w:rPr>
          <w:rFonts w:ascii="黑体" w:eastAsia="黑体"/>
          <w:sz w:val="30"/>
          <w:szCs w:val="30"/>
          <w:highlight w:val="none"/>
        </w:rPr>
      </w:pPr>
      <w:r>
        <w:rPr>
          <w:rFonts w:hint="eastAsia" w:ascii="黑体" w:eastAsia="黑体"/>
          <w:sz w:val="30"/>
          <w:szCs w:val="30"/>
          <w:highlight w:val="none"/>
        </w:rPr>
        <w:t>温州银行“金鹿理财-温盈”</w:t>
      </w:r>
      <w:r>
        <w:rPr>
          <w:rFonts w:hint="eastAsia" w:ascii="黑体" w:eastAsia="黑体"/>
          <w:color w:val="000000"/>
          <w:sz w:val="30"/>
          <w:szCs w:val="30"/>
          <w:highlight w:val="none"/>
          <w:u w:val="single"/>
        </w:rPr>
        <w:t>20069</w:t>
      </w:r>
      <w:r>
        <w:rPr>
          <w:rFonts w:hint="eastAsia" w:ascii="黑体" w:eastAsia="黑体"/>
          <w:sz w:val="30"/>
          <w:szCs w:val="30"/>
          <w:highlight w:val="none"/>
        </w:rPr>
        <w:t>号</w:t>
      </w:r>
    </w:p>
    <w:p>
      <w:pPr>
        <w:spacing w:line="372" w:lineRule="auto"/>
        <w:jc w:val="center"/>
        <w:rPr>
          <w:rFonts w:ascii="黑体" w:eastAsia="黑体"/>
          <w:bCs/>
          <w:sz w:val="30"/>
          <w:szCs w:val="30"/>
          <w:highlight w:val="none"/>
        </w:rPr>
      </w:pPr>
      <w:r>
        <w:rPr>
          <w:rFonts w:hint="eastAsia" w:ascii="黑体" w:eastAsia="黑体"/>
          <w:sz w:val="30"/>
          <w:szCs w:val="30"/>
          <w:highlight w:val="none"/>
        </w:rPr>
        <w:t>开放式净值型</w:t>
      </w:r>
      <w:r>
        <w:rPr>
          <w:rFonts w:hint="eastAsia" w:ascii="黑体" w:eastAsia="黑体"/>
          <w:bCs/>
          <w:sz w:val="30"/>
          <w:szCs w:val="30"/>
          <w:highlight w:val="none"/>
        </w:rPr>
        <w:t>银行理财计划产品说明书</w:t>
      </w:r>
    </w:p>
    <w:p>
      <w:pPr>
        <w:adjustRightInd w:val="0"/>
        <w:snapToGrid w:val="0"/>
        <w:spacing w:before="120" w:line="288" w:lineRule="auto"/>
        <w:rPr>
          <w:b/>
          <w:sz w:val="18"/>
          <w:szCs w:val="18"/>
          <w:highlight w:val="none"/>
        </w:rPr>
      </w:pPr>
      <w:r>
        <w:rPr>
          <w:rFonts w:hint="eastAsia"/>
          <w:b/>
          <w:sz w:val="18"/>
          <w:szCs w:val="18"/>
          <w:highlight w:val="none"/>
        </w:rPr>
        <w:t>重要须知</w:t>
      </w:r>
    </w:p>
    <w:p>
      <w:pPr>
        <w:adjustRightInd w:val="0"/>
        <w:snapToGrid w:val="0"/>
        <w:spacing w:line="288"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288" w:lineRule="auto"/>
        <w:rPr>
          <w:sz w:val="18"/>
          <w:szCs w:val="18"/>
          <w:highlight w:val="none"/>
        </w:rPr>
      </w:pPr>
      <w:r>
        <w:rPr>
          <w:rFonts w:hint="eastAsia"/>
          <w:sz w:val="18"/>
          <w:szCs w:val="18"/>
          <w:highlight w:val="none"/>
        </w:rPr>
        <w:t>本产品适合于无投资经验投资者和有投资经验投资者。</w:t>
      </w:r>
    </w:p>
    <w:p>
      <w:pPr>
        <w:adjustRightInd w:val="0"/>
        <w:snapToGrid w:val="0"/>
        <w:spacing w:line="288" w:lineRule="auto"/>
        <w:rPr>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highlight w:val="none"/>
        </w:rPr>
      </w:pPr>
      <w:r>
        <w:rPr>
          <w:rFonts w:hint="eastAsia"/>
          <w:sz w:val="18"/>
          <w:szCs w:val="18"/>
          <w:highlight w:val="none"/>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highlight w:val="none"/>
        </w:rPr>
      </w:pPr>
      <w:r>
        <w:rPr>
          <w:rFonts w:hint="eastAsia"/>
          <w:sz w:val="18"/>
          <w:szCs w:val="18"/>
          <w:highlight w:val="none"/>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288" w:lineRule="auto"/>
        <w:rPr>
          <w:b/>
          <w:sz w:val="18"/>
          <w:szCs w:val="18"/>
          <w:highlight w:val="none"/>
        </w:rPr>
      </w:pPr>
      <w:r>
        <w:rPr>
          <w:rFonts w:hint="eastAsia"/>
          <w:b/>
          <w:sz w:val="18"/>
          <w:szCs w:val="18"/>
          <w:highlight w:val="none"/>
        </w:rPr>
        <w:t>释义</w:t>
      </w:r>
    </w:p>
    <w:p>
      <w:pPr>
        <w:adjustRightInd w:val="0"/>
        <w:snapToGrid w:val="0"/>
        <w:spacing w:line="288"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288"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color w:val="000000"/>
          <w:sz w:val="18"/>
          <w:szCs w:val="18"/>
          <w:highlight w:val="none"/>
        </w:rPr>
        <w:t>温盈”20069号开放式净值型银行理财计划</w:t>
      </w:r>
    </w:p>
    <w:p>
      <w:pPr>
        <w:adjustRightInd w:val="0"/>
        <w:snapToGrid w:val="0"/>
        <w:spacing w:line="288" w:lineRule="auto"/>
        <w:rPr>
          <w:sz w:val="18"/>
          <w:szCs w:val="18"/>
          <w:highlight w:val="none"/>
        </w:rPr>
      </w:pPr>
      <w:r>
        <w:rPr>
          <w:rFonts w:hint="eastAsia"/>
          <w:sz w:val="18"/>
          <w:szCs w:val="18"/>
          <w:highlight w:val="none"/>
        </w:rPr>
        <w:t>发行银行：指温州银行股份有限公司</w:t>
      </w:r>
    </w:p>
    <w:p>
      <w:pPr>
        <w:adjustRightInd w:val="0"/>
        <w:snapToGrid w:val="0"/>
        <w:spacing w:line="288"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288"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产品风险评级：PR2</w:t>
      </w:r>
    </w:p>
    <w:p>
      <w:pPr>
        <w:widowControl/>
        <w:adjustRightInd w:val="0"/>
        <w:snapToGrid w:val="0"/>
        <w:spacing w:line="300" w:lineRule="auto"/>
        <w:outlineLvl w:val="0"/>
        <w:rPr>
          <w:b/>
          <w:sz w:val="18"/>
          <w:szCs w:val="18"/>
          <w:highlight w:val="none"/>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highlight w:val="none"/>
          <w:lang w:eastAsia="zh-CN"/>
        </w:rPr>
        <w:t>。</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“金鹿理财-温盈”</w:t>
            </w:r>
            <w:r>
              <w:rPr>
                <w:rFonts w:hint="eastAsia"/>
                <w:color w:val="000000"/>
                <w:sz w:val="18"/>
                <w:szCs w:val="18"/>
                <w:highlight w:val="none"/>
                <w:u w:val="single"/>
              </w:rPr>
              <w:t>20069</w:t>
            </w:r>
            <w:r>
              <w:rPr>
                <w:rFonts w:hint="eastAsia"/>
                <w:sz w:val="18"/>
                <w:szCs w:val="18"/>
                <w:highlight w:val="none"/>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color w:val="000000"/>
                <w:sz w:val="18"/>
                <w:szCs w:val="18"/>
                <w:highlight w:val="none"/>
              </w:rPr>
              <w:t>YJ2069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highlight w:val="none"/>
              </w:rPr>
            </w:pPr>
            <w:r>
              <w:rPr>
                <w:rFonts w:hint="eastAsia" w:hAnsi="Calibri"/>
                <w:color w:val="000000"/>
                <w:sz w:val="18"/>
                <w:szCs w:val="18"/>
                <w:highlight w:val="none"/>
              </w:rPr>
              <w:t>C1092220000300</w:t>
            </w:r>
          </w:p>
          <w:p>
            <w:pPr>
              <w:pStyle w:val="14"/>
              <w:adjustRightInd w:val="0"/>
              <w:snapToGrid w:val="0"/>
              <w:spacing w:before="0" w:beforeAutospacing="0" w:after="0" w:afterAutospacing="0" w:line="288" w:lineRule="auto"/>
              <w:jc w:val="center"/>
              <w:rPr>
                <w:rFonts w:hAnsi="Calibri"/>
                <w:sz w:val="18"/>
                <w:szCs w:val="18"/>
                <w:highlight w:val="none"/>
              </w:rPr>
            </w:pPr>
            <w:r>
              <w:rPr>
                <w:rFonts w:hAnsi="Calibri"/>
                <w:sz w:val="18"/>
                <w:szCs w:val="18"/>
                <w:highlight w:val="none"/>
              </w:rPr>
              <w:t>(投资者可登录中国理财网</w:t>
            </w:r>
            <w:r>
              <w:rPr>
                <w:rFonts w:hAnsi="Calibri"/>
                <w:sz w:val="18"/>
                <w:szCs w:val="18"/>
                <w:highlight w:val="none"/>
                <w:u w:val="single"/>
              </w:rPr>
              <w:t>www.chinawealth.com.cn</w:t>
            </w:r>
            <w:r>
              <w:rPr>
                <w:rFonts w:hAnsi="Calibri"/>
                <w:sz w:val="18"/>
                <w:szCs w:val="18"/>
                <w:highlight w:val="none"/>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u w:val="single"/>
              </w:rPr>
            </w:pPr>
            <w:r>
              <w:rPr>
                <w:rFonts w:hint="eastAsia"/>
                <w:color w:val="000000"/>
                <w:sz w:val="18"/>
                <w:szCs w:val="18"/>
                <w:u w:val="single"/>
                <w:lang w:val="en-US" w:eastAsia="zh-CN"/>
              </w:rPr>
              <w:t>2020年9月30日</w:t>
            </w:r>
            <w:r>
              <w:rPr>
                <w:rFonts w:hint="eastAsia"/>
                <w:sz w:val="18"/>
                <w:szCs w:val="18"/>
                <w:u w:val="single"/>
              </w:rPr>
              <w:t>至</w:t>
            </w:r>
            <w:r>
              <w:rPr>
                <w:rFonts w:hint="eastAsia"/>
                <w:color w:val="000000"/>
                <w:sz w:val="18"/>
                <w:szCs w:val="18"/>
                <w:u w:val="single"/>
                <w:lang w:val="en-US" w:eastAsia="zh-CN"/>
              </w:rPr>
              <w:t>2020年10月8日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业绩</w:t>
            </w:r>
            <w:r>
              <w:rPr>
                <w:rFonts w:cs="Times New Roman"/>
                <w:sz w:val="18"/>
                <w:szCs w:val="18"/>
                <w:highlight w:val="none"/>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color w:val="000000"/>
                <w:sz w:val="18"/>
                <w:szCs w:val="18"/>
                <w:highlight w:val="none"/>
              </w:rPr>
              <w:t>首个投资运作周期的业绩比较基准为4.30%（年化）</w:t>
            </w:r>
            <w:r>
              <w:rPr>
                <w:rFonts w:cs="Times New Roman"/>
                <w:sz w:val="18"/>
                <w:szCs w:val="18"/>
                <w:highlight w:val="none"/>
              </w:rPr>
              <w:t>。</w:t>
            </w:r>
            <w:r>
              <w:rPr>
                <w:rFonts w:hint="eastAsia" w:cs="Times New Roman"/>
                <w:sz w:val="18"/>
                <w:szCs w:val="18"/>
                <w:highlight w:val="none"/>
              </w:rPr>
              <w:t>温州</w:t>
            </w:r>
            <w:r>
              <w:rPr>
                <w:rFonts w:cs="Times New Roman"/>
                <w:sz w:val="18"/>
                <w:szCs w:val="18"/>
                <w:highlight w:val="none"/>
              </w:rPr>
              <w:t>银行有权在</w:t>
            </w:r>
            <w:r>
              <w:rPr>
                <w:rFonts w:hint="eastAsia" w:cs="Times New Roman"/>
                <w:sz w:val="18"/>
                <w:szCs w:val="18"/>
                <w:highlight w:val="none"/>
              </w:rPr>
              <w:t>每个</w:t>
            </w:r>
            <w:r>
              <w:rPr>
                <w:rFonts w:cs="Times New Roman"/>
                <w:sz w:val="18"/>
                <w:szCs w:val="18"/>
                <w:highlight w:val="none"/>
              </w:rPr>
              <w:t>开放</w:t>
            </w:r>
            <w:r>
              <w:rPr>
                <w:rFonts w:hint="eastAsia" w:cs="Times New Roman"/>
                <w:sz w:val="18"/>
                <w:szCs w:val="18"/>
                <w:highlight w:val="none"/>
              </w:rPr>
              <w:t>期</w:t>
            </w:r>
            <w:r>
              <w:rPr>
                <w:rFonts w:cs="Times New Roman"/>
                <w:sz w:val="18"/>
                <w:szCs w:val="18"/>
                <w:highlight w:val="none"/>
              </w:rPr>
              <w:t>前</w:t>
            </w:r>
            <w:r>
              <w:rPr>
                <w:rFonts w:hint="eastAsia" w:cs="Times New Roman"/>
                <w:sz w:val="18"/>
                <w:szCs w:val="18"/>
                <w:highlight w:val="none"/>
              </w:rPr>
              <w:t>，根据市场情况进行调整，该</w:t>
            </w:r>
            <w:r>
              <w:rPr>
                <w:rFonts w:cs="Times New Roman"/>
                <w:sz w:val="18"/>
                <w:szCs w:val="18"/>
                <w:highlight w:val="none"/>
              </w:rPr>
              <w:t>调整将通过</w:t>
            </w:r>
            <w:r>
              <w:rPr>
                <w:rFonts w:hint="eastAsia" w:cs="Times New Roman"/>
                <w:sz w:val="18"/>
                <w:szCs w:val="18"/>
                <w:highlight w:val="none"/>
              </w:rPr>
              <w:t>温州银行官方网站或电子银行等信息平台进行</w:t>
            </w:r>
            <w:r>
              <w:rPr>
                <w:rFonts w:cs="Times New Roman"/>
                <w:sz w:val="18"/>
                <w:szCs w:val="18"/>
                <w:highlight w:val="none"/>
              </w:rPr>
              <w:t>信息</w:t>
            </w:r>
            <w:r>
              <w:rPr>
                <w:rFonts w:hint="eastAsia" w:cs="Times New Roman"/>
                <w:sz w:val="18"/>
                <w:szCs w:val="18"/>
                <w:highlight w:val="none"/>
              </w:rPr>
              <w:t>披露</w:t>
            </w:r>
            <w:r>
              <w:rPr>
                <w:rFonts w:cs="Times New Roman"/>
                <w:sz w:val="18"/>
                <w:szCs w:val="18"/>
                <w:highlight w:val="none"/>
              </w:rPr>
              <w:t>。</w:t>
            </w:r>
          </w:p>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本产品为净值型理财产品，其业绩表现将随市场波动具有不确定性。</w:t>
            </w:r>
            <w:r>
              <w:rPr>
                <w:rFonts w:hint="eastAsia" w:cs="Times New Roman"/>
                <w:b/>
                <w:bCs/>
                <w:sz w:val="18"/>
                <w:szCs w:val="18"/>
                <w:highlight w:val="none"/>
              </w:rPr>
              <w:t>业绩比较基准/过往业绩不是预期收益率，不代表产品的未来表现和实际收益，不构成对产品收益的承诺。</w:t>
            </w:r>
            <w:r>
              <w:rPr>
                <w:rFonts w:hint="eastAsia" w:cs="Times New Roman"/>
                <w:sz w:val="18"/>
                <w:szCs w:val="18"/>
                <w:highlight w:val="none"/>
              </w:rPr>
              <w:t>业绩比较基准测算依据：管理人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olor w:val="000000"/>
                <w:sz w:val="18"/>
                <w:szCs w:val="18"/>
                <w:highlight w:val="none"/>
              </w:rPr>
              <w:t>本理财计划成立日为2020年10月9日。温州银行有权根据实际募集情况选择产品提前成立，若温州银行采取以上措施，温州银行将就产品相应要素的调整事宜于提前成立日前的一个工作日在温州银行网站予以公告。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highlight w:val="none"/>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highlight w:val="none"/>
              </w:rPr>
            </w:pPr>
            <w:r>
              <w:rPr>
                <w:rFonts w:ascii="宋体" w:hAnsi="宋体"/>
                <w:kern w:val="0"/>
                <w:sz w:val="18"/>
                <w:highlight w:val="none"/>
              </w:rPr>
              <w:t>本理财</w:t>
            </w:r>
            <w:r>
              <w:rPr>
                <w:rFonts w:hint="eastAsia" w:ascii="宋体" w:hAnsi="宋体"/>
                <w:kern w:val="0"/>
                <w:sz w:val="18"/>
                <w:highlight w:val="none"/>
              </w:rPr>
              <w:t>计划</w:t>
            </w:r>
            <w:r>
              <w:rPr>
                <w:rFonts w:ascii="宋体" w:hAnsi="宋体"/>
                <w:kern w:val="0"/>
                <w:sz w:val="18"/>
                <w:highlight w:val="none"/>
              </w:rPr>
              <w:t>存续期为</w:t>
            </w:r>
            <w:r>
              <w:rPr>
                <w:rFonts w:hint="eastAsia" w:ascii="宋体" w:hAnsi="宋体"/>
                <w:kern w:val="0"/>
                <w:sz w:val="18"/>
                <w:highlight w:val="none"/>
              </w:rPr>
              <w:t>10</w:t>
            </w:r>
            <w:r>
              <w:rPr>
                <w:rFonts w:ascii="宋体" w:hAnsi="宋体"/>
                <w:kern w:val="0"/>
                <w:sz w:val="18"/>
                <w:highlight w:val="none"/>
              </w:rPr>
              <w:t>年。存续期指本理财产品成立日至到期日的理财期间。</w:t>
            </w:r>
            <w:r>
              <w:rPr>
                <w:rFonts w:hint="eastAsia" w:ascii="宋体" w:hAnsi="宋体"/>
                <w:kern w:val="0"/>
                <w:sz w:val="18"/>
                <w:highlight w:val="none"/>
              </w:rPr>
              <w:t>温州</w:t>
            </w:r>
            <w:r>
              <w:rPr>
                <w:rFonts w:ascii="宋体" w:hAnsi="宋体"/>
                <w:kern w:val="0"/>
                <w:sz w:val="18"/>
                <w:highlight w:val="none"/>
              </w:rPr>
              <w:t>银行有权在存续期届满前一个月内选择展期，并通过</w:t>
            </w:r>
            <w:r>
              <w:rPr>
                <w:rFonts w:hint="eastAsia" w:ascii="宋体" w:hAnsi="宋体"/>
                <w:kern w:val="0"/>
                <w:sz w:val="18"/>
                <w:highlight w:val="none"/>
              </w:rPr>
              <w:t>温州银行网站</w:t>
            </w:r>
            <w:r>
              <w:rPr>
                <w:rFonts w:ascii="宋体" w:hAnsi="宋体"/>
                <w:kern w:val="0"/>
                <w:sz w:val="18"/>
                <w:highlight w:val="none"/>
              </w:rPr>
              <w:t>予以公告。若</w:t>
            </w:r>
            <w:r>
              <w:rPr>
                <w:rFonts w:hint="eastAsia" w:ascii="宋体" w:hAnsi="宋体"/>
                <w:kern w:val="0"/>
                <w:sz w:val="18"/>
                <w:highlight w:val="none"/>
              </w:rPr>
              <w:t>温州</w:t>
            </w:r>
            <w:r>
              <w:rPr>
                <w:rFonts w:ascii="宋体" w:hAnsi="宋体"/>
                <w:kern w:val="0"/>
                <w:sz w:val="18"/>
                <w:highlight w:val="none"/>
              </w:rPr>
              <w:t>银行未选择展期，则本理财产品</w:t>
            </w:r>
            <w:r>
              <w:rPr>
                <w:rFonts w:hint="eastAsia" w:ascii="宋体" w:hAnsi="宋体"/>
                <w:kern w:val="0"/>
                <w:sz w:val="18"/>
                <w:highlight w:val="none"/>
              </w:rPr>
              <w:t>在</w:t>
            </w:r>
            <w:r>
              <w:rPr>
                <w:rFonts w:ascii="宋体" w:hAnsi="宋体"/>
                <w:kern w:val="0"/>
                <w:sz w:val="18"/>
                <w:highlight w:val="none"/>
              </w:rPr>
              <w:t>存续期届满</w:t>
            </w:r>
            <w:r>
              <w:rPr>
                <w:rFonts w:hint="eastAsia" w:ascii="宋体" w:hAnsi="宋体"/>
                <w:kern w:val="0"/>
                <w:sz w:val="18"/>
                <w:highlight w:val="none"/>
              </w:rPr>
              <w:t>后</w:t>
            </w:r>
            <w:r>
              <w:rPr>
                <w:rFonts w:ascii="宋体" w:hAnsi="宋体"/>
                <w:kern w:val="0"/>
                <w:sz w:val="18"/>
                <w:highlight w:val="none"/>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highlight w:val="none"/>
              </w:rPr>
            </w:pPr>
            <w:r>
              <w:rPr>
                <w:rFonts w:ascii="宋体" w:hAnsi="宋体"/>
                <w:sz w:val="18"/>
                <w:highlight w:val="none"/>
              </w:rPr>
              <w:t>1．本理财产品成立后，按投资周期开放</w:t>
            </w:r>
            <w:r>
              <w:rPr>
                <w:rFonts w:hint="eastAsia" w:ascii="宋体" w:hAnsi="宋体"/>
                <w:sz w:val="18"/>
                <w:highlight w:val="none"/>
              </w:rPr>
              <w:t>预约认购（申购）</w:t>
            </w:r>
            <w:r>
              <w:rPr>
                <w:rFonts w:ascii="宋体" w:hAnsi="宋体"/>
                <w:sz w:val="18"/>
                <w:highlight w:val="none"/>
              </w:rPr>
              <w:t>、预约赎回和</w:t>
            </w:r>
            <w:r>
              <w:rPr>
                <w:rFonts w:hint="eastAsia" w:ascii="宋体" w:hAnsi="宋体"/>
                <w:sz w:val="18"/>
                <w:highlight w:val="none"/>
              </w:rPr>
              <w:t>理财分红</w:t>
            </w:r>
            <w:r>
              <w:rPr>
                <w:rFonts w:ascii="宋体" w:hAnsi="宋体"/>
                <w:sz w:val="18"/>
                <w:highlight w:val="none"/>
              </w:rPr>
              <w:t>。每一个投资</w:t>
            </w:r>
            <w:r>
              <w:rPr>
                <w:rFonts w:hint="eastAsia" w:ascii="宋体" w:hAnsi="宋体"/>
                <w:sz w:val="18"/>
                <w:highlight w:val="none"/>
              </w:rPr>
              <w:t>运作</w:t>
            </w:r>
            <w:r>
              <w:rPr>
                <w:rFonts w:ascii="宋体" w:hAnsi="宋体"/>
                <w:sz w:val="18"/>
                <w:highlight w:val="none"/>
              </w:rPr>
              <w:t>周期</w:t>
            </w:r>
            <w:r>
              <w:rPr>
                <w:rFonts w:ascii="宋体" w:hAnsi="宋体"/>
                <w:kern w:val="0"/>
                <w:sz w:val="18"/>
                <w:highlight w:val="none"/>
              </w:rPr>
              <w:t>为该</w:t>
            </w:r>
            <w:r>
              <w:rPr>
                <w:rFonts w:ascii="宋体" w:hAnsi="宋体"/>
                <w:sz w:val="18"/>
                <w:highlight w:val="none"/>
              </w:rPr>
              <w:t>投资周期起始日</w:t>
            </w:r>
            <w:r>
              <w:rPr>
                <w:rFonts w:ascii="宋体" w:hAnsi="宋体"/>
                <w:kern w:val="0"/>
                <w:sz w:val="18"/>
                <w:highlight w:val="none"/>
              </w:rPr>
              <w:t>至该</w:t>
            </w:r>
            <w:r>
              <w:rPr>
                <w:rFonts w:ascii="宋体" w:hAnsi="宋体"/>
                <w:sz w:val="18"/>
                <w:highlight w:val="none"/>
              </w:rPr>
              <w:t>投资周期</w:t>
            </w:r>
            <w:r>
              <w:rPr>
                <w:rFonts w:ascii="宋体" w:hAnsi="宋体"/>
                <w:kern w:val="0"/>
                <w:sz w:val="18"/>
                <w:highlight w:val="none"/>
              </w:rPr>
              <w:t>终止日的理财期间</w:t>
            </w:r>
            <w:r>
              <w:rPr>
                <w:rFonts w:hint="eastAsia"/>
                <w:sz w:val="18"/>
                <w:szCs w:val="18"/>
                <w:highlight w:val="none"/>
              </w:rPr>
              <w:t>。</w:t>
            </w:r>
          </w:p>
          <w:p>
            <w:pPr>
              <w:autoSpaceDN w:val="0"/>
              <w:rPr>
                <w:rFonts w:ascii="宋体" w:hAnsi="宋体"/>
                <w:sz w:val="24"/>
                <w:highlight w:val="none"/>
              </w:rPr>
            </w:pPr>
            <w:r>
              <w:rPr>
                <w:rFonts w:ascii="宋体" w:hAnsi="宋体"/>
                <w:sz w:val="18"/>
                <w:highlight w:val="none"/>
              </w:rPr>
              <w:t>2．本理财产品一个投资周期为【</w:t>
            </w:r>
            <w:r>
              <w:rPr>
                <w:rFonts w:hint="eastAsia" w:ascii="宋体" w:hAnsi="宋体"/>
                <w:color w:val="000000"/>
                <w:sz w:val="18"/>
                <w:highlight w:val="none"/>
              </w:rPr>
              <w:t>369</w:t>
            </w:r>
            <w:r>
              <w:rPr>
                <w:rFonts w:ascii="宋体" w:hAnsi="宋体"/>
                <w:sz w:val="18"/>
                <w:highlight w:val="none"/>
              </w:rPr>
              <w:t>】天，</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369</w:t>
            </w:r>
            <w:r>
              <w:rPr>
                <w:rFonts w:ascii="宋体" w:hAnsi="宋体"/>
                <w:sz w:val="18"/>
                <w:highlight w:val="none"/>
              </w:rPr>
              <w:t>】天。投资周期终止日如遇非</w:t>
            </w:r>
            <w:r>
              <w:rPr>
                <w:rFonts w:hint="eastAsia" w:ascii="宋体" w:hAnsi="宋体"/>
                <w:sz w:val="18"/>
                <w:highlight w:val="none"/>
                <w:lang w:val="en-US" w:eastAsia="zh-CN"/>
              </w:rPr>
              <w:t>交易</w:t>
            </w:r>
            <w:r>
              <w:rPr>
                <w:rFonts w:ascii="宋体" w:hAnsi="宋体"/>
                <w:sz w:val="18"/>
                <w:highlight w:val="none"/>
              </w:rPr>
              <w:t>日则</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将</w:t>
            </w:r>
            <w:r>
              <w:rPr>
                <w:rFonts w:ascii="宋体" w:hAnsi="宋体"/>
                <w:sz w:val="18"/>
                <w:highlight w:val="none"/>
              </w:rPr>
              <w:t>做相应调整</w:t>
            </w:r>
            <w:r>
              <w:rPr>
                <w:rFonts w:ascii="宋体" w:hAnsi="宋体"/>
                <w:kern w:val="0"/>
                <w:sz w:val="18"/>
                <w:highlight w:val="none"/>
              </w:rPr>
              <w:t>。</w:t>
            </w:r>
            <w:r>
              <w:rPr>
                <w:rFonts w:hint="eastAsia" w:ascii="宋体" w:hAnsi="宋体"/>
                <w:kern w:val="0"/>
                <w:sz w:val="18"/>
                <w:highlight w:val="none"/>
              </w:rPr>
              <w:t>每个投资运作周期的相关产品要素及具体日期请参照</w:t>
            </w:r>
            <w:r>
              <w:rPr>
                <w:rFonts w:hint="eastAsia"/>
                <w:color w:val="000000"/>
                <w:sz w:val="18"/>
                <w:szCs w:val="18"/>
                <w:highlight w:val="none"/>
              </w:rPr>
              <w:t>《温州银行“金鹿理财-温盈”20069号开放式净值型（第i期）银行理财计划开放认购（申购）申请书》</w:t>
            </w:r>
            <w:r>
              <w:rPr>
                <w:rFonts w:ascii="宋体" w:hAnsi="宋体"/>
                <w:sz w:val="18"/>
                <w:highlight w:val="none"/>
              </w:rPr>
              <w:t>所载明的</w:t>
            </w:r>
            <w:r>
              <w:rPr>
                <w:rFonts w:hint="eastAsia" w:ascii="宋体" w:hAnsi="宋体"/>
                <w:sz w:val="18"/>
                <w:highlight w:val="none"/>
              </w:rPr>
              <w:t>产品要素</w:t>
            </w:r>
            <w:r>
              <w:rPr>
                <w:rFonts w:ascii="宋体" w:hAnsi="宋体"/>
                <w:sz w:val="18"/>
                <w:highlight w:val="none"/>
              </w:rPr>
              <w:t>为准。</w:t>
            </w:r>
            <w:r>
              <w:rPr>
                <w:rFonts w:hint="eastAsia" w:ascii="宋体" w:hAnsi="宋体"/>
                <w:sz w:val="18"/>
                <w:highlight w:val="none"/>
              </w:rPr>
              <w:t>温州</w:t>
            </w:r>
            <w:r>
              <w:rPr>
                <w:rFonts w:ascii="宋体" w:hAnsi="宋体"/>
                <w:sz w:val="18"/>
                <w:highlight w:val="none"/>
              </w:rPr>
              <w:t>银行有权</w:t>
            </w:r>
            <w:r>
              <w:rPr>
                <w:rFonts w:hint="eastAsia" w:ascii="宋体" w:hAnsi="宋体"/>
                <w:sz w:val="18"/>
                <w:highlight w:val="none"/>
              </w:rPr>
              <w:t>根据市场情况</w:t>
            </w:r>
            <w:r>
              <w:rPr>
                <w:rFonts w:ascii="宋体" w:hAnsi="宋体"/>
                <w:sz w:val="18"/>
                <w:highlight w:val="none"/>
              </w:rPr>
              <w:t>调整投资周期，调整后的投资周期</w:t>
            </w:r>
            <w:r>
              <w:rPr>
                <w:rFonts w:hint="eastAsia" w:ascii="宋体" w:hAnsi="宋体"/>
                <w:sz w:val="18"/>
                <w:highlight w:val="none"/>
              </w:rPr>
              <w:t>等相关事宜将在温州</w:t>
            </w:r>
            <w:r>
              <w:rPr>
                <w:rFonts w:ascii="宋体" w:hAnsi="宋体"/>
                <w:sz w:val="18"/>
                <w:highlight w:val="none"/>
              </w:rPr>
              <w:t>银行网站</w:t>
            </w:r>
            <w:r>
              <w:rPr>
                <w:rFonts w:hint="eastAsia" w:ascii="宋体" w:hAnsi="宋体"/>
                <w:sz w:val="18"/>
                <w:highlight w:val="none"/>
              </w:rPr>
              <w:t>予以</w:t>
            </w:r>
            <w:r>
              <w:rPr>
                <w:rFonts w:ascii="宋体" w:hAnsi="宋体"/>
                <w:sz w:val="18"/>
                <w:highlight w:val="none"/>
              </w:rPr>
              <w:t>公告。</w:t>
            </w:r>
          </w:p>
          <w:p>
            <w:pPr>
              <w:autoSpaceDN w:val="0"/>
              <w:rPr>
                <w:rFonts w:ascii="宋体" w:hAnsi="宋体"/>
                <w:sz w:val="24"/>
                <w:highlight w:val="none"/>
              </w:rPr>
            </w:pPr>
            <w:r>
              <w:rPr>
                <w:rFonts w:ascii="宋体" w:hAnsi="宋体"/>
                <w:sz w:val="18"/>
                <w:highlight w:val="none"/>
              </w:rPr>
              <w:t>3. 本理财产品按投资周期开放申购，</w:t>
            </w:r>
            <w:r>
              <w:rPr>
                <w:rFonts w:hint="eastAsia" w:ascii="宋体" w:hAnsi="宋体"/>
                <w:sz w:val="18"/>
                <w:highlight w:val="none"/>
              </w:rPr>
              <w:t>投资者</w:t>
            </w:r>
            <w:r>
              <w:rPr>
                <w:rFonts w:ascii="宋体" w:hAnsi="宋体"/>
                <w:sz w:val="18"/>
                <w:highlight w:val="none"/>
              </w:rPr>
              <w:t>可以在一个投资周期的预约</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期内提出</w:t>
            </w:r>
            <w:r>
              <w:rPr>
                <w:rFonts w:hint="eastAsia" w:ascii="宋体" w:hAnsi="宋体"/>
                <w:sz w:val="18"/>
                <w:highlight w:val="none"/>
              </w:rPr>
              <w:t>认购（</w:t>
            </w:r>
            <w:r>
              <w:rPr>
                <w:rFonts w:ascii="宋体" w:hAnsi="宋体"/>
                <w:sz w:val="18"/>
                <w:highlight w:val="none"/>
              </w:rPr>
              <w:t>申购</w:t>
            </w:r>
            <w:r>
              <w:rPr>
                <w:rFonts w:hint="eastAsia" w:ascii="宋体" w:hAnsi="宋体"/>
                <w:sz w:val="18"/>
                <w:highlight w:val="none"/>
              </w:rPr>
              <w:t>）</w:t>
            </w:r>
            <w:r>
              <w:rPr>
                <w:rFonts w:ascii="宋体" w:hAnsi="宋体"/>
                <w:sz w:val="18"/>
                <w:highlight w:val="none"/>
              </w:rPr>
              <w:t>申请。本理财产品按投资周期开放赎回，</w:t>
            </w:r>
            <w:r>
              <w:rPr>
                <w:rFonts w:hint="eastAsia" w:ascii="宋体" w:hAnsi="宋体"/>
                <w:sz w:val="18"/>
                <w:highlight w:val="none"/>
              </w:rPr>
              <w:t>投资者</w:t>
            </w:r>
            <w:r>
              <w:rPr>
                <w:rFonts w:ascii="宋体" w:hAnsi="宋体"/>
                <w:sz w:val="18"/>
                <w:highlight w:val="none"/>
              </w:rPr>
              <w:t>可以在一个投资周期的预约赎回期内提出赎回申请，赎回确认日为</w:t>
            </w:r>
            <w:r>
              <w:rPr>
                <w:rFonts w:hint="eastAsia" w:ascii="宋体" w:hAnsi="宋体"/>
                <w:sz w:val="18"/>
                <w:highlight w:val="none"/>
              </w:rPr>
              <w:t>该</w:t>
            </w:r>
            <w:r>
              <w:rPr>
                <w:rFonts w:ascii="宋体" w:hAnsi="宋体"/>
                <w:sz w:val="18"/>
                <w:highlight w:val="none"/>
              </w:rPr>
              <w:t>投资周期的投资周期终止日，</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根据投资者的赎回申请</w:t>
            </w:r>
            <w:r>
              <w:rPr>
                <w:rFonts w:ascii="宋体" w:hAnsi="宋体"/>
                <w:sz w:val="18"/>
                <w:highlight w:val="none"/>
              </w:rPr>
              <w:t>返还客户赎回本金和当期投资周期理财</w:t>
            </w:r>
            <w:r>
              <w:rPr>
                <w:rFonts w:hint="eastAsia" w:ascii="宋体" w:hAnsi="宋体"/>
                <w:sz w:val="18"/>
                <w:highlight w:val="none"/>
              </w:rPr>
              <w:t>损益</w:t>
            </w:r>
            <w:r>
              <w:rPr>
                <w:rFonts w:ascii="宋体" w:hAnsi="宋体"/>
                <w:sz w:val="18"/>
                <w:highlight w:val="none"/>
              </w:rPr>
              <w:t>。如果</w:t>
            </w:r>
            <w:r>
              <w:rPr>
                <w:rFonts w:hint="eastAsia" w:ascii="宋体" w:hAnsi="宋体"/>
                <w:sz w:val="18"/>
                <w:highlight w:val="none"/>
              </w:rPr>
              <w:t>投资者</w:t>
            </w:r>
            <w:r>
              <w:rPr>
                <w:rFonts w:ascii="宋体" w:hAnsi="宋体"/>
                <w:sz w:val="18"/>
                <w:highlight w:val="none"/>
              </w:rPr>
              <w:t>在</w:t>
            </w: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资金对应的</w:t>
            </w:r>
            <w:r>
              <w:rPr>
                <w:rFonts w:ascii="宋体" w:hAnsi="宋体"/>
                <w:sz w:val="18"/>
                <w:highlight w:val="none"/>
              </w:rPr>
              <w:t>投资周期</w:t>
            </w:r>
            <w:r>
              <w:rPr>
                <w:rFonts w:hint="eastAsia" w:ascii="宋体" w:hAnsi="宋体"/>
                <w:sz w:val="18"/>
                <w:highlight w:val="none"/>
              </w:rPr>
              <w:t>内</w:t>
            </w:r>
            <w:r>
              <w:rPr>
                <w:rFonts w:ascii="宋体" w:hAnsi="宋体"/>
                <w:sz w:val="18"/>
                <w:highlight w:val="none"/>
              </w:rPr>
              <w:t>的</w:t>
            </w:r>
            <w:r>
              <w:rPr>
                <w:rFonts w:hint="eastAsia" w:ascii="宋体" w:hAnsi="宋体"/>
                <w:sz w:val="18"/>
                <w:highlight w:val="none"/>
              </w:rPr>
              <w:t>预约</w:t>
            </w:r>
            <w:r>
              <w:rPr>
                <w:rFonts w:ascii="宋体" w:hAnsi="宋体"/>
                <w:sz w:val="18"/>
                <w:highlight w:val="none"/>
              </w:rPr>
              <w:t>赎回期内未提出赎回申请，则该投资周期终止后，客户的理财资金</w:t>
            </w:r>
            <w:r>
              <w:rPr>
                <w:rFonts w:hint="eastAsia" w:ascii="宋体" w:hAnsi="宋体"/>
                <w:sz w:val="18"/>
                <w:highlight w:val="none"/>
              </w:rPr>
              <w:t>将</w:t>
            </w:r>
            <w:r>
              <w:rPr>
                <w:rFonts w:ascii="宋体" w:hAnsi="宋体"/>
                <w:sz w:val="18"/>
                <w:highlight w:val="none"/>
              </w:rPr>
              <w:t>继续进入下一个投资周期进行理财运作，</w:t>
            </w:r>
            <w:r>
              <w:rPr>
                <w:rFonts w:hint="eastAsia" w:ascii="宋体" w:hAnsi="宋体"/>
                <w:sz w:val="18"/>
                <w:highlight w:val="none"/>
              </w:rPr>
              <w:t>温州</w:t>
            </w:r>
            <w:r>
              <w:rPr>
                <w:rFonts w:ascii="宋体" w:hAnsi="宋体"/>
                <w:sz w:val="18"/>
                <w:highlight w:val="none"/>
              </w:rPr>
              <w:t>银行</w:t>
            </w:r>
            <w:r>
              <w:rPr>
                <w:rFonts w:hint="eastAsia" w:ascii="宋体" w:hAnsi="宋体"/>
                <w:sz w:val="18"/>
                <w:highlight w:val="none"/>
              </w:rPr>
              <w:t>在对应的</w:t>
            </w:r>
            <w:r>
              <w:rPr>
                <w:rFonts w:ascii="宋体" w:hAnsi="宋体"/>
                <w:sz w:val="18"/>
                <w:highlight w:val="none"/>
              </w:rPr>
              <w:t>投资周期终止日，</w:t>
            </w:r>
            <w:r>
              <w:rPr>
                <w:rFonts w:hint="eastAsia" w:ascii="宋体" w:hAnsi="宋体"/>
                <w:sz w:val="18"/>
                <w:highlight w:val="none"/>
              </w:rPr>
              <w:t>进行</w:t>
            </w:r>
            <w:r>
              <w:rPr>
                <w:rFonts w:ascii="宋体" w:hAnsi="宋体"/>
                <w:sz w:val="18"/>
                <w:highlight w:val="none"/>
              </w:rPr>
              <w:t>该投资周期理财收益</w:t>
            </w:r>
            <w:r>
              <w:rPr>
                <w:rFonts w:hint="eastAsia" w:ascii="宋体" w:hAnsi="宋体"/>
                <w:sz w:val="18"/>
                <w:highlight w:val="none"/>
              </w:rPr>
              <w:t>清算</w:t>
            </w:r>
            <w:r>
              <w:rPr>
                <w:rFonts w:ascii="宋体" w:hAnsi="宋体"/>
                <w:sz w:val="18"/>
                <w:highlight w:val="none"/>
              </w:rPr>
              <w:t>。</w:t>
            </w:r>
          </w:p>
          <w:p>
            <w:pPr>
              <w:autoSpaceDN w:val="0"/>
              <w:rPr>
                <w:sz w:val="18"/>
                <w:szCs w:val="18"/>
                <w:highlight w:val="none"/>
              </w:rPr>
            </w:pPr>
            <w:r>
              <w:rPr>
                <w:rFonts w:hint="eastAsia" w:ascii="宋体" w:hAnsi="宋体"/>
                <w:sz w:val="18"/>
                <w:highlight w:val="none"/>
              </w:rPr>
              <w:t>4</w:t>
            </w:r>
            <w:r>
              <w:rPr>
                <w:rFonts w:ascii="宋体" w:hAnsi="宋体"/>
                <w:sz w:val="18"/>
                <w:highlight w:val="none"/>
              </w:rPr>
              <w:t>．当期投资周期的投资周期终止日、赎回</w:t>
            </w:r>
            <w:r>
              <w:rPr>
                <w:rFonts w:hint="eastAsia" w:ascii="宋体" w:hAnsi="宋体"/>
                <w:sz w:val="18"/>
                <w:highlight w:val="none"/>
              </w:rPr>
              <w:t>清算</w:t>
            </w:r>
            <w:r>
              <w:rPr>
                <w:rFonts w:ascii="宋体" w:hAnsi="宋体"/>
                <w:sz w:val="18"/>
                <w:highlight w:val="none"/>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w:t>
            </w:r>
            <w:r>
              <w:rPr>
                <w:rFonts w:hint="eastAsia"/>
                <w:sz w:val="18"/>
                <w:szCs w:val="18"/>
                <w:highlight w:val="none"/>
              </w:rPr>
              <w:t>（申购）</w:t>
            </w:r>
            <w:r>
              <w:rPr>
                <w:rFonts w:hint="eastAsia" w:ascii="宋体" w:hAnsi="宋体"/>
                <w:sz w:val="18"/>
                <w:highlight w:val="none"/>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highlight w:val="none"/>
              </w:rPr>
            </w:pPr>
            <w:r>
              <w:rPr>
                <w:rFonts w:hint="eastAsia" w:ascii="宋体" w:hAnsi="宋体"/>
                <w:sz w:val="18"/>
                <w:highlight w:val="none"/>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highlight w:val="none"/>
              </w:rPr>
            </w:pPr>
            <w:r>
              <w:rPr>
                <w:rFonts w:hint="eastAsia" w:ascii="宋体" w:hAnsi="宋体"/>
                <w:sz w:val="18"/>
                <w:highlight w:val="none"/>
              </w:rPr>
              <w:t>单一投资者持有份额最高不超2000万</w:t>
            </w:r>
            <w:r>
              <w:rPr>
                <w:rFonts w:hint="eastAsia" w:ascii="宋体" w:hAnsi="宋体"/>
                <w:sz w:val="18"/>
                <w:highlight w:val="none"/>
                <w:lang w:eastAsia="zh-CN"/>
              </w:rPr>
              <w:t>，</w:t>
            </w:r>
            <w:r>
              <w:rPr>
                <w:rFonts w:hint="eastAsia" w:ascii="宋体" w:hAnsi="宋体"/>
                <w:sz w:val="18"/>
                <w:highlight w:val="none"/>
                <w:lang w:val="en-US" w:eastAsia="zh-CN"/>
              </w:rPr>
              <w:t>且</w:t>
            </w:r>
            <w:r>
              <w:rPr>
                <w:rFonts w:hint="eastAsia" w:ascii="宋体" w:hAnsi="宋体"/>
                <w:sz w:val="18"/>
                <w:highlight w:val="none"/>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0.005%</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最高不超过</w:t>
            </w:r>
            <w:r>
              <w:rPr>
                <w:rFonts w:hint="eastAsia"/>
                <w:sz w:val="18"/>
                <w:szCs w:val="18"/>
                <w:highlight w:val="none"/>
                <w:lang w:eastAsia="zh-CN"/>
              </w:rPr>
              <w:t>0.6</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在本理财产品扣除产品固定管理费及托管费等各项费用后</w:t>
            </w:r>
            <w:r>
              <w:rPr>
                <w:rFonts w:hint="eastAsia" w:cs="Times New Roman"/>
                <w:sz w:val="18"/>
                <w:szCs w:val="18"/>
                <w:highlight w:val="none"/>
                <w:lang w:eastAsia="zh-CN"/>
              </w:rPr>
              <w:t>，</w:t>
            </w:r>
            <w:r>
              <w:rPr>
                <w:rFonts w:hint="eastAsia" w:cs="Times New Roman"/>
                <w:sz w:val="18"/>
                <w:szCs w:val="18"/>
                <w:highlight w:val="none"/>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highlight w:val="none"/>
              </w:rPr>
            </w:pPr>
            <w:r>
              <w:rPr>
                <w:rFonts w:hint="eastAsia" w:ascii="宋体" w:hAnsi="宋体"/>
                <w:kern w:val="0"/>
                <w:sz w:val="18"/>
                <w:szCs w:val="18"/>
                <w:highlight w:val="none"/>
              </w:rPr>
              <w:t>单位净值为提取相关费用后的单位理财产品份额净值，单位净值=理财产品估值日理财产品总净值/产品总份额。理财产品总净值=</w:t>
            </w:r>
            <w:r>
              <w:rPr>
                <w:rFonts w:hint="eastAsia" w:ascii="宋体" w:hAnsi="宋体"/>
                <w:kern w:val="0"/>
                <w:sz w:val="18"/>
                <w:szCs w:val="18"/>
                <w:highlight w:val="none"/>
                <w:lang w:val="en-US" w:eastAsia="zh-CN"/>
              </w:rPr>
              <w:t>理财产品资产总值-理财产品负债总值</w:t>
            </w:r>
            <w:r>
              <w:rPr>
                <w:rFonts w:hint="eastAsia" w:ascii="宋体" w:hAnsi="宋体"/>
                <w:kern w:val="0"/>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sz w:val="18"/>
                <w:szCs w:val="18"/>
                <w:highlight w:val="none"/>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rFonts w:hint="eastAsia" w:eastAsia="宋体"/>
                <w:sz w:val="18"/>
                <w:szCs w:val="18"/>
                <w:highlight w:val="none"/>
                <w:lang w:eastAsia="zh-CN"/>
              </w:rPr>
            </w:pPr>
            <w:r>
              <w:rPr>
                <w:rFonts w:hint="eastAsia"/>
                <w:sz w:val="18"/>
                <w:szCs w:val="18"/>
                <w:highlight w:val="none"/>
              </w:rPr>
              <w:t>具有证券投资基金托管业务资格的商业银行</w:t>
            </w:r>
            <w:r>
              <w:rPr>
                <w:rFonts w:hint="eastAsia"/>
                <w:sz w:val="18"/>
                <w:szCs w:val="18"/>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highlight w:val="none"/>
              </w:rPr>
            </w:pPr>
            <w:r>
              <w:rPr>
                <w:rFonts w:hint="eastAsia"/>
                <w:sz w:val="18"/>
                <w:szCs w:val="18"/>
                <w:highlight w:val="none"/>
              </w:rPr>
              <w:t>销售机构</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温州银行股份有限公司（含分支机构）。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highlight w:val="none"/>
                <w:lang w:eastAsia="zh-CN"/>
              </w:rPr>
              <w:t>，</w:t>
            </w:r>
            <w:r>
              <w:rPr>
                <w:rFonts w:hint="eastAsia" w:ascii="宋体" w:hAnsi="宋体" w:cs="宋体"/>
                <w:kern w:val="0"/>
                <w:sz w:val="18"/>
                <w:szCs w:val="18"/>
                <w:highlight w:val="none"/>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highlight w:val="none"/>
              </w:rPr>
            </w:pPr>
            <w:r>
              <w:rPr>
                <w:rFonts w:hint="eastAsia" w:cs="Times New Roman"/>
                <w:b/>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highlight w:val="none"/>
              </w:rPr>
            </w:pPr>
            <w:r>
              <w:rPr>
                <w:rFonts w:hint="eastAsia" w:cs="Times New Roman"/>
                <w:b/>
                <w:sz w:val="18"/>
                <w:szCs w:val="18"/>
                <w:highlight w:val="none"/>
              </w:rPr>
              <w:t>客户无提前终止权。如遇国家金融政策出现重大调整并影响到本产品的正常运行或温州银行有合理理由认为将影响本理财计划正常运作的其他情形时，</w:t>
            </w:r>
            <w:r>
              <w:rPr>
                <w:rFonts w:hint="eastAsia" w:cs="Times New Roman"/>
                <w:b/>
                <w:sz w:val="18"/>
                <w:szCs w:val="18"/>
                <w:highlight w:val="none"/>
                <w:lang w:val="en-US" w:eastAsia="zh-CN"/>
              </w:rPr>
              <w:t>温州</w:t>
            </w:r>
            <w:r>
              <w:rPr>
                <w:rFonts w:hint="eastAsia" w:cs="Times New Roman"/>
                <w:b/>
                <w:sz w:val="18"/>
                <w:szCs w:val="18"/>
                <w:highlight w:val="none"/>
              </w:rPr>
              <w:t>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cs="Times New Roman"/>
                <w:b/>
                <w:sz w:val="18"/>
                <w:szCs w:val="18"/>
                <w:highlight w:val="none"/>
              </w:rPr>
            </w:pPr>
            <w:r>
              <w:rPr>
                <w:rFonts w:hint="eastAsia" w:cs="Times New Roman"/>
                <w:b w:val="0"/>
                <w:bCs/>
                <w:sz w:val="18"/>
                <w:szCs w:val="18"/>
                <w:highlight w:val="none"/>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hint="eastAsia" w:cs="Times New Roman"/>
                <w:b/>
                <w:sz w:val="18"/>
                <w:szCs w:val="18"/>
                <w:highlight w:val="none"/>
              </w:rPr>
            </w:pPr>
            <w:r>
              <w:rPr>
                <w:rFonts w:hint="eastAsia"/>
                <w:sz w:val="18"/>
                <w:szCs w:val="18"/>
                <w:highlight w:val="none"/>
              </w:rPr>
              <w:t>指上海证券交易所</w:t>
            </w:r>
            <w:r>
              <w:rPr>
                <w:rFonts w:hint="eastAsia"/>
                <w:sz w:val="18"/>
                <w:szCs w:val="18"/>
                <w:highlight w:val="none"/>
                <w:lang w:eastAsia="zh-CN"/>
              </w:rPr>
              <w:t>、</w:t>
            </w:r>
            <w:r>
              <w:rPr>
                <w:rFonts w:hint="eastAsia"/>
                <w:sz w:val="18"/>
                <w:szCs w:val="18"/>
                <w:highlight w:val="none"/>
                <w:lang w:val="en-US" w:eastAsia="zh-CN"/>
              </w:rPr>
              <w:t>深圳证券交易所</w:t>
            </w:r>
            <w:r>
              <w:rPr>
                <w:rFonts w:hint="eastAsia"/>
                <w:sz w:val="18"/>
                <w:szCs w:val="18"/>
                <w:highlight w:val="none"/>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highlight w:val="none"/>
              </w:rPr>
            </w:pPr>
            <w:r>
              <w:rPr>
                <w:rFonts w:hint="eastAsia" w:cs="Times New Roman"/>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highlight w:val="none"/>
              </w:rPr>
            </w:pPr>
            <w:r>
              <w:rPr>
                <w:rFonts w:hint="eastAsia" w:cs="Times New Roman"/>
                <w:sz w:val="18"/>
                <w:szCs w:val="18"/>
                <w:highlight w:val="none"/>
              </w:rPr>
              <w:t>理财本金在理财计划成立日/投资周期起始日前交存于温州银行的，按当时实行的活期利率计息。赎回清算日到理财资金返还到账日为</w:t>
            </w:r>
            <w:r>
              <w:rPr>
                <w:rFonts w:hint="eastAsia" w:cs="Times New Roman"/>
                <w:sz w:val="18"/>
                <w:szCs w:val="18"/>
                <w:highlight w:val="none"/>
                <w:lang w:val="en-US" w:eastAsia="zh-CN"/>
              </w:rPr>
              <w:t>资金</w:t>
            </w:r>
            <w:r>
              <w:rPr>
                <w:rFonts w:hint="eastAsia" w:cs="Times New Roman"/>
                <w:sz w:val="18"/>
                <w:szCs w:val="18"/>
                <w:highlight w:val="none"/>
              </w:rPr>
              <w:t>清算期，</w:t>
            </w:r>
            <w:r>
              <w:rPr>
                <w:rFonts w:hint="eastAsia" w:cs="Times New Roman"/>
                <w:sz w:val="18"/>
                <w:szCs w:val="18"/>
                <w:highlight w:val="none"/>
                <w:lang w:val="en-US" w:eastAsia="zh-CN"/>
              </w:rPr>
              <w:t>资金</w:t>
            </w:r>
            <w:r>
              <w:rPr>
                <w:rFonts w:hint="eastAsia" w:cs="Times New Roman"/>
                <w:sz w:val="18"/>
                <w:szCs w:val="18"/>
                <w:highlight w:val="none"/>
              </w:rPr>
              <w:t>清算期内不计付利息和收益。</w:t>
            </w:r>
          </w:p>
        </w:tc>
      </w:tr>
    </w:tbl>
    <w:p>
      <w:pPr>
        <w:adjustRightInd w:val="0"/>
        <w:snapToGrid w:val="0"/>
        <w:spacing w:before="156" w:beforeLines="50" w:line="288"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numPr>
          <w:ilvl w:val="0"/>
          <w:numId w:val="0"/>
        </w:numPr>
        <w:adjustRightInd w:val="0"/>
        <w:snapToGrid w:val="0"/>
        <w:spacing w:line="300" w:lineRule="auto"/>
        <w:rPr>
          <w:rFonts w:hint="eastAsia"/>
          <w:sz w:val="18"/>
          <w:szCs w:val="18"/>
          <w:highlight w:val="none"/>
        </w:rPr>
      </w:pPr>
      <w:r>
        <w:rPr>
          <w:rFonts w:hint="eastAsia"/>
          <w:sz w:val="18"/>
          <w:szCs w:val="18"/>
          <w:highlight w:val="none"/>
        </w:rPr>
        <w:t>本产品为固定收益类理财产品，温州银行主要将理财产品募集资金直接或间接配置于存款、债券回购、货币市场工具、债券等</w:t>
      </w:r>
      <w:r>
        <w:rPr>
          <w:rFonts w:hint="eastAsia"/>
          <w:sz w:val="18"/>
          <w:szCs w:val="18"/>
          <w:highlight w:val="none"/>
          <w:lang w:val="en-US" w:eastAsia="zh-CN"/>
        </w:rPr>
        <w:t>债权</w:t>
      </w:r>
      <w:r>
        <w:rPr>
          <w:rFonts w:hint="eastAsia"/>
          <w:sz w:val="18"/>
          <w:szCs w:val="18"/>
          <w:highlight w:val="none"/>
        </w:rPr>
        <w:t>类资产，部分可投资于权益类资产</w:t>
      </w:r>
      <w:r>
        <w:rPr>
          <w:rFonts w:hint="eastAsia"/>
          <w:sz w:val="18"/>
          <w:szCs w:val="18"/>
          <w:highlight w:val="none"/>
          <w:lang w:eastAsia="zh-CN"/>
        </w:rPr>
        <w:t>、</w:t>
      </w:r>
      <w:r>
        <w:rPr>
          <w:rFonts w:hint="eastAsia"/>
          <w:sz w:val="18"/>
          <w:szCs w:val="18"/>
          <w:highlight w:val="none"/>
        </w:rPr>
        <w:t>商品及金融衍生品类资产。具体包括但不限于银行间市场和证券交易所市场债权性资产、非标准化债权资产、资产管理计划、信托计划、各类受（收）益权、资产支持证券、票据资产、证券投资基金、债券借贷，及其他符合监管要求的投资标的和资产组合。</w:t>
      </w:r>
      <w:r>
        <w:rPr>
          <w:rFonts w:hint="eastAsia" w:ascii="宋体" w:hAnsi="宋体"/>
          <w:sz w:val="18"/>
          <w:szCs w:val="18"/>
          <w:highlight w:val="none"/>
        </w:rPr>
        <w:t>与交易对手开展买入返售交易的，可接受押品的资质要求应该符合本产品说明书关于投资范围的约定。</w:t>
      </w:r>
      <w:r>
        <w:rPr>
          <w:rFonts w:hint="eastAsia"/>
          <w:sz w:val="18"/>
          <w:szCs w:val="18"/>
          <w:highlight w:val="none"/>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8"/>
        <w:tblW w:w="4999" w:type="pct"/>
        <w:jc w:val="center"/>
        <w:tblLayout w:type="autofit"/>
        <w:tblCellMar>
          <w:top w:w="0" w:type="dxa"/>
          <w:left w:w="108" w:type="dxa"/>
          <w:bottom w:w="0" w:type="dxa"/>
          <w:right w:w="108" w:type="dxa"/>
        </w:tblCellMar>
      </w:tblPr>
      <w:tblGrid>
        <w:gridCol w:w="5112"/>
        <w:gridCol w:w="4286"/>
      </w:tblGrid>
      <w:tr>
        <w:trPr>
          <w:trHeight w:val="316"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资产类别</w:t>
            </w:r>
          </w:p>
        </w:tc>
        <w:tc>
          <w:tcPr>
            <w:tcW w:w="2280" w:type="pct"/>
            <w:tcBorders>
              <w:top w:val="single" w:color="auto" w:sz="4" w:space="0"/>
              <w:left w:val="nil"/>
              <w:bottom w:val="single" w:color="auto" w:sz="4" w:space="0"/>
              <w:right w:val="single" w:color="auto" w:sz="4" w:space="0"/>
            </w:tcBorders>
            <w:noWrap w:val="0"/>
            <w:vAlign w:val="bottom"/>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投资比例</w:t>
            </w:r>
          </w:p>
        </w:tc>
      </w:tr>
      <w:tr>
        <w:tblPrEx>
          <w:tblCellMar>
            <w:top w:w="0" w:type="dxa"/>
            <w:left w:w="108" w:type="dxa"/>
            <w:bottom w:w="0" w:type="dxa"/>
            <w:right w:w="108" w:type="dxa"/>
          </w:tblCellMar>
        </w:tblPrEx>
        <w:trPr>
          <w:trHeight w:val="312"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债权类资产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宋体" w:hAnsi="宋体" w:cs="宋体"/>
                <w:color w:val="000000"/>
                <w:kern w:val="0"/>
                <w:sz w:val="18"/>
                <w:szCs w:val="18"/>
                <w:highlight w:val="none"/>
              </w:rPr>
            </w:pPr>
            <w:r>
              <w:rPr>
                <w:rFonts w:hint="eastAsia" w:ascii="宋体" w:hAnsi="宋体" w:cs="宋体"/>
                <w:color w:val="000000"/>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719" w:type="pct"/>
            <w:tcBorders>
              <w:top w:val="single" w:color="auto" w:sz="4" w:space="0"/>
              <w:left w:val="single" w:color="auto" w:sz="4" w:space="0"/>
              <w:bottom w:val="single" w:color="auto" w:sz="4" w:space="0"/>
              <w:right w:val="single" w:color="auto" w:sz="4" w:space="0"/>
            </w:tcBorders>
            <w:noWrap w:val="0"/>
            <w:vAlign w:val="bottom"/>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其他类资产</w:t>
            </w:r>
          </w:p>
        </w:tc>
        <w:tc>
          <w:tcPr>
            <w:tcW w:w="2280" w:type="pc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hint="default" w:ascii="宋体" w:hAnsi="宋体" w:eastAsia="宋体" w:cs="宋体"/>
                <w:color w:val="000000"/>
                <w:kern w:val="0"/>
                <w:sz w:val="18"/>
                <w:szCs w:val="18"/>
                <w:highlight w:val="none"/>
                <w:lang w:val="en-US" w:eastAsia="zh-CN"/>
              </w:rPr>
            </w:pPr>
            <w:r>
              <w:rPr>
                <w:rFonts w:hint="eastAsia" w:ascii="宋体" w:hAnsi="宋体" w:cs="宋体"/>
                <w:color w:val="000000"/>
                <w:kern w:val="0"/>
                <w:sz w:val="18"/>
                <w:szCs w:val="18"/>
                <w:highlight w:val="none"/>
                <w:lang w:val="en-US" w:eastAsia="zh-CN"/>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本理财产品的杠杆水平不超过140%。</w:t>
      </w:r>
    </w:p>
    <w:p>
      <w:pPr>
        <w:adjustRightInd w:val="0"/>
        <w:snapToGrid w:val="0"/>
        <w:spacing w:line="286" w:lineRule="auto"/>
        <w:rPr>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highlight w:val="none"/>
        </w:rPr>
      </w:pPr>
      <w:r>
        <w:rPr>
          <w:rFonts w:hint="eastAsia"/>
          <w:bCs/>
          <w:sz w:val="18"/>
          <w:szCs w:val="18"/>
          <w:highlight w:val="none"/>
        </w:rPr>
        <w:t>主要拟投资市场、资产的流动性风险评估</w:t>
      </w:r>
    </w:p>
    <w:p>
      <w:pPr>
        <w:adjustRightInd w:val="0"/>
        <w:snapToGrid w:val="0"/>
        <w:spacing w:line="281" w:lineRule="auto"/>
        <w:rPr>
          <w:rFonts w:hint="eastAsia"/>
          <w:bCs/>
          <w:sz w:val="18"/>
          <w:szCs w:val="18"/>
          <w:highlight w:val="none"/>
        </w:rPr>
      </w:pPr>
      <w:r>
        <w:rPr>
          <w:rFonts w:hint="eastAsia"/>
          <w:bCs/>
          <w:sz w:val="18"/>
          <w:szCs w:val="18"/>
          <w:highlight w:val="none"/>
        </w:rPr>
        <w:t>（1）投资于标准化固收类</w:t>
      </w:r>
      <w:r>
        <w:rPr>
          <w:rFonts w:hint="eastAsia"/>
          <w:bCs/>
          <w:sz w:val="18"/>
          <w:szCs w:val="18"/>
          <w:highlight w:val="none"/>
          <w:lang w:val="en-US" w:eastAsia="zh-CN"/>
        </w:rPr>
        <w:t>资产</w:t>
      </w:r>
      <w:r>
        <w:rPr>
          <w:rFonts w:hint="eastAsia"/>
          <w:bCs/>
          <w:sz w:val="18"/>
          <w:szCs w:val="18"/>
          <w:highlight w:val="none"/>
        </w:rPr>
        <w:t>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highlight w:val="none"/>
        </w:rPr>
      </w:pPr>
      <w:r>
        <w:rPr>
          <w:rFonts w:hint="eastAsia"/>
          <w:bCs/>
          <w:sz w:val="18"/>
          <w:szCs w:val="18"/>
          <w:highlight w:val="none"/>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（3）投资于权益类</w:t>
      </w:r>
      <w:r>
        <w:rPr>
          <w:rFonts w:hint="eastAsia"/>
          <w:bCs/>
          <w:sz w:val="18"/>
          <w:szCs w:val="18"/>
          <w:highlight w:val="none"/>
          <w:lang w:eastAsia="zh-CN"/>
        </w:rPr>
        <w:t>、</w:t>
      </w:r>
      <w:r>
        <w:rPr>
          <w:rFonts w:hint="eastAsia"/>
          <w:sz w:val="18"/>
          <w:szCs w:val="18"/>
          <w:highlight w:val="none"/>
        </w:rPr>
        <w:t>商品及金融衍生品类</w:t>
      </w:r>
      <w:r>
        <w:rPr>
          <w:rFonts w:hint="eastAsia"/>
          <w:bCs/>
          <w:sz w:val="18"/>
          <w:szCs w:val="18"/>
          <w:highlight w:val="none"/>
        </w:rPr>
        <w:t>资产的可能流动性风险（如有）：包括但不限于上市公司普通股、上市公司优先股、股票基金、股票定向增发</w:t>
      </w:r>
      <w:r>
        <w:rPr>
          <w:rFonts w:hint="eastAsia"/>
          <w:bCs/>
          <w:sz w:val="18"/>
          <w:szCs w:val="18"/>
          <w:highlight w:val="none"/>
          <w:lang w:eastAsia="zh-CN"/>
        </w:rPr>
        <w:t>、</w:t>
      </w:r>
      <w:r>
        <w:rPr>
          <w:rFonts w:hint="eastAsia"/>
          <w:bCs/>
          <w:sz w:val="18"/>
          <w:szCs w:val="18"/>
          <w:highlight w:val="none"/>
          <w:lang w:val="en-US" w:eastAsia="zh-CN"/>
        </w:rPr>
        <w:t>商品基金</w:t>
      </w:r>
      <w:r>
        <w:rPr>
          <w:rFonts w:hint="eastAsia"/>
          <w:bCs/>
          <w:sz w:val="18"/>
          <w:szCs w:val="18"/>
          <w:highlight w:val="none"/>
        </w:rPr>
        <w:t>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bCs/>
          <w:sz w:val="18"/>
          <w:szCs w:val="18"/>
          <w:highlight w:val="none"/>
        </w:rPr>
      </w:pPr>
      <w:r>
        <w:rPr>
          <w:rFonts w:hint="eastAsia"/>
          <w:bCs/>
          <w:sz w:val="18"/>
          <w:szCs w:val="18"/>
          <w:highlight w:val="none"/>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6" w:lineRule="auto"/>
        <w:rPr>
          <w:rFonts w:hint="eastAsia"/>
          <w:b/>
          <w:bCs/>
          <w:sz w:val="18"/>
          <w:szCs w:val="18"/>
          <w:highlight w:val="none"/>
          <w:lang w:eastAsia="zh-CN"/>
        </w:rPr>
      </w:pPr>
      <w:r>
        <w:rPr>
          <w:rFonts w:hint="eastAsia"/>
          <w:b/>
          <w:bCs/>
          <w:sz w:val="18"/>
          <w:szCs w:val="18"/>
          <w:highlight w:val="none"/>
          <w:lang w:val="en-US" w:eastAsia="zh-CN"/>
        </w:rPr>
        <w:t>历史业绩比较基准</w:t>
      </w:r>
    </w:p>
    <w:p>
      <w:pPr>
        <w:adjustRightInd w:val="0"/>
        <w:snapToGrid w:val="0"/>
        <w:spacing w:line="286" w:lineRule="auto"/>
        <w:rPr>
          <w:rFonts w:hint="eastAsia"/>
          <w:sz w:val="18"/>
          <w:szCs w:val="18"/>
          <w:highlight w:val="none"/>
          <w:lang w:eastAsia="zh-CN"/>
        </w:rPr>
      </w:pPr>
      <w:r>
        <w:rPr>
          <w:rFonts w:hint="eastAsia" w:cs="Times New Roman"/>
          <w:sz w:val="18"/>
          <w:szCs w:val="18"/>
          <w:highlight w:val="none"/>
        </w:rPr>
        <w:t>业绩比较基准</w:t>
      </w:r>
      <w:r>
        <w:rPr>
          <w:rFonts w:hint="eastAsia" w:cs="Times New Roman"/>
          <w:sz w:val="18"/>
          <w:szCs w:val="18"/>
          <w:highlight w:val="none"/>
          <w:lang w:val="en-US" w:eastAsia="zh-CN"/>
        </w:rPr>
        <w:t>由</w:t>
      </w:r>
      <w:r>
        <w:rPr>
          <w:rFonts w:hint="eastAsia" w:cs="Times New Roman"/>
          <w:sz w:val="18"/>
          <w:szCs w:val="18"/>
          <w:highlight w:val="none"/>
        </w:rPr>
        <w:t>管理人</w:t>
      </w:r>
      <w:r>
        <w:rPr>
          <w:rFonts w:cs="Times New Roman"/>
          <w:sz w:val="18"/>
          <w:szCs w:val="18"/>
          <w:highlight w:val="none"/>
        </w:rPr>
        <w:t>参考过往投资经验，依据近期货币市场工具、债券等资产</w:t>
      </w:r>
      <w:r>
        <w:rPr>
          <w:rFonts w:hint="eastAsia" w:cs="Times New Roman"/>
          <w:sz w:val="18"/>
          <w:szCs w:val="18"/>
          <w:highlight w:val="none"/>
        </w:rPr>
        <w:t>投资</w:t>
      </w:r>
      <w:r>
        <w:rPr>
          <w:rFonts w:cs="Times New Roman"/>
          <w:sz w:val="18"/>
          <w:szCs w:val="18"/>
          <w:highlight w:val="none"/>
        </w:rPr>
        <w:t>收益水平，在产品说明书约定的投资范围和投资比例内</w:t>
      </w:r>
      <w:r>
        <w:rPr>
          <w:rFonts w:hint="eastAsia" w:cs="Times New Roman"/>
          <w:sz w:val="18"/>
          <w:szCs w:val="18"/>
          <w:highlight w:val="none"/>
        </w:rPr>
        <w:t>，结合当前利率水平、资产配比及市场同类型产品情况，经综合判断得出</w:t>
      </w:r>
      <w:r>
        <w:rPr>
          <w:rFonts w:hint="eastAsia" w:cs="Times New Roman"/>
          <w:sz w:val="18"/>
          <w:szCs w:val="18"/>
          <w:highlight w:val="none"/>
          <w:lang w:val="en-US" w:eastAsia="zh-CN"/>
        </w:rPr>
        <w:t>并及时更新</w:t>
      </w:r>
      <w:r>
        <w:rPr>
          <w:rFonts w:hint="eastAsia" w:cs="Times New Roman"/>
          <w:sz w:val="18"/>
          <w:szCs w:val="18"/>
          <w:highlight w:val="none"/>
        </w:rPr>
        <w:t>。</w:t>
      </w:r>
    </w:p>
    <w:tbl>
      <w:tblPr>
        <w:tblStyle w:val="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0"/>
        <w:gridCol w:w="4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业绩比较基准</w:t>
            </w:r>
          </w:p>
        </w:tc>
        <w:tc>
          <w:tcPr>
            <w:tcW w:w="2500" w:type="pct"/>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生效日期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2.50%-2.70%</w:t>
            </w:r>
          </w:p>
        </w:tc>
        <w:tc>
          <w:tcPr>
            <w:tcW w:w="2500" w:type="pct"/>
            <w:shd w:val="clear" w:color="auto" w:fill="auto"/>
            <w:vAlign w:val="top"/>
          </w:tcPr>
          <w:p>
            <w:pPr>
              <w:adjustRightInd w:val="0"/>
              <w:snapToGrid w:val="0"/>
              <w:spacing w:line="286" w:lineRule="auto"/>
              <w:rPr>
                <w:rFonts w:hint="eastAsia" w:ascii="Times New Roman" w:hAnsi="Times New Roman" w:eastAsia="宋体" w:cs="Times New Roman"/>
                <w:kern w:val="2"/>
                <w:sz w:val="18"/>
                <w:szCs w:val="18"/>
                <w:highlight w:val="none"/>
                <w:vertAlign w:val="baseline"/>
                <w:lang w:val="en-US" w:eastAsia="zh-CN" w:bidi="ar-SA"/>
              </w:rPr>
            </w:pPr>
            <w:r>
              <w:rPr>
                <w:rFonts w:hint="eastAsia"/>
                <w:color w:val="000000"/>
                <w:sz w:val="18"/>
                <w:szCs w:val="18"/>
                <w:highlight w:val="none"/>
                <w:vertAlign w:val="baseline"/>
                <w:lang w:eastAsia="zh-CN"/>
              </w:rPr>
              <w:t>2025年11月5日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2.30%-2.60%</w:t>
            </w:r>
          </w:p>
        </w:tc>
        <w:tc>
          <w:tcPr>
            <w:tcW w:w="2500" w:type="pct"/>
          </w:tcPr>
          <w:p>
            <w:pPr>
              <w:adjustRightInd w:val="0"/>
              <w:snapToGrid w:val="0"/>
              <w:spacing w:line="286" w:lineRule="auto"/>
              <w:rPr>
                <w:rFonts w:hint="eastAsia"/>
                <w:sz w:val="18"/>
                <w:szCs w:val="18"/>
                <w:highlight w:val="none"/>
                <w:vertAlign w:val="baseline"/>
                <w:lang w:eastAsia="zh-CN"/>
              </w:rPr>
            </w:pPr>
            <w:r>
              <w:rPr>
                <w:rFonts w:hint="eastAsia"/>
                <w:color w:val="000000"/>
                <w:sz w:val="18"/>
                <w:szCs w:val="18"/>
                <w:highlight w:val="none"/>
                <w:vertAlign w:val="baseline"/>
                <w:lang w:eastAsia="zh-CN"/>
              </w:rPr>
              <w:t>2026年11月18日</w:t>
            </w:r>
          </w:p>
        </w:tc>
      </w:tr>
    </w:tbl>
    <w:p>
      <w:pPr>
        <w:adjustRightInd w:val="0"/>
        <w:snapToGrid w:val="0"/>
        <w:spacing w:line="281" w:lineRule="auto"/>
        <w:rPr>
          <w:rFonts w:hint="eastAsia" w:eastAsia="宋体"/>
          <w:b/>
          <w:sz w:val="18"/>
          <w:szCs w:val="18"/>
          <w:highlight w:val="none"/>
          <w:lang w:val="en-US" w:eastAsia="zh-CN"/>
        </w:rPr>
      </w:pPr>
      <w:r>
        <w:rPr>
          <w:rFonts w:hint="eastAsia"/>
          <w:b/>
          <w:sz w:val="18"/>
          <w:szCs w:val="18"/>
          <w:highlight w:val="none"/>
        </w:rPr>
        <w:t>销售</w:t>
      </w:r>
      <w:r>
        <w:rPr>
          <w:rFonts w:hint="eastAsia"/>
          <w:b/>
          <w:sz w:val="18"/>
          <w:szCs w:val="18"/>
          <w:highlight w:val="none"/>
          <w:lang w:val="en-US" w:eastAsia="zh-CN"/>
        </w:rPr>
        <w:t>地区</w:t>
      </w:r>
    </w:p>
    <w:p>
      <w:pPr>
        <w:adjustRightInd w:val="0"/>
        <w:snapToGrid w:val="0"/>
        <w:spacing w:line="281" w:lineRule="auto"/>
        <w:rPr>
          <w:rFonts w:hint="eastAsia"/>
          <w:b/>
          <w:bCs/>
          <w:sz w:val="18"/>
          <w:szCs w:val="18"/>
          <w:highlight w:val="none"/>
          <w:lang w:val="en-US" w:eastAsia="zh-CN"/>
        </w:rPr>
      </w:pPr>
      <w:r>
        <w:rPr>
          <w:rFonts w:hint="eastAsia"/>
          <w:sz w:val="18"/>
          <w:szCs w:val="18"/>
          <w:highlight w:val="none"/>
        </w:rPr>
        <w:t>销售地区范围包括浙江省、上海地区等。</w:t>
      </w:r>
    </w:p>
    <w:p>
      <w:pPr>
        <w:adjustRightInd w:val="0"/>
        <w:snapToGrid w:val="0"/>
        <w:spacing w:line="281" w:lineRule="auto"/>
        <w:rPr>
          <w:rFonts w:hint="eastAsia"/>
          <w:b/>
          <w:bCs/>
          <w:sz w:val="18"/>
          <w:szCs w:val="18"/>
          <w:highlight w:val="none"/>
          <w:lang w:val="en-US" w:eastAsia="zh-CN"/>
        </w:rPr>
      </w:pPr>
      <w:r>
        <w:rPr>
          <w:rFonts w:hint="eastAsia"/>
          <w:b/>
          <w:bCs/>
          <w:sz w:val="18"/>
          <w:szCs w:val="18"/>
          <w:highlight w:val="none"/>
          <w:lang w:val="en-US" w:eastAsia="zh-CN"/>
        </w:rPr>
        <w:t>销售机构</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提供包括投资者风险承受能力评估和投资者适当性管理、理财计划份额认购/申购</w:t>
            </w:r>
            <w:r>
              <w:rPr>
                <w:rFonts w:hint="eastAsia"/>
                <w:sz w:val="18"/>
                <w:szCs w:val="18"/>
                <w:highlight w:val="none"/>
                <w:lang w:val="en-US" w:eastAsia="zh-CN"/>
              </w:rPr>
              <w:t>/赎回</w:t>
            </w:r>
            <w:r>
              <w:rPr>
                <w:rFonts w:hint="eastAsia"/>
                <w:sz w:val="18"/>
                <w:szCs w:val="18"/>
                <w:highlight w:val="none"/>
              </w:rPr>
              <w:t>、协助管理人与投资者签订理财计划合同、协助管理人进行信息披露、接受投资者咨询和客户维护等销售服务。</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投资管理人</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lang w:val="en-US" w:eastAsia="zh-CN"/>
              </w:rPr>
              <w:t>温州银行股份有限公司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浙江省温州市鹿城区会展路1316号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96699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tc>
      </w:tr>
    </w:tbl>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0"/>
        <w:gridCol w:w="7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lang w:val="en-US" w:eastAsia="zh-CN"/>
              </w:rPr>
              <w:t>机构</w:t>
            </w:r>
            <w:r>
              <w:rPr>
                <w:rFonts w:hint="eastAsia"/>
                <w:sz w:val="18"/>
                <w:szCs w:val="18"/>
                <w:highlight w:val="none"/>
                <w:vertAlign w:val="baseline"/>
                <w:lang w:val="en-US" w:eastAsia="zh-CN"/>
              </w:rPr>
              <w:t>名称</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宁波银行股份有限公司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住所</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浙江省宁波市鄞州区宁东路345号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客服热线</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vertAlign w:val="baseline"/>
                <w:lang w:val="en-US" w:eastAsia="zh-CN"/>
              </w:rPr>
              <w:t>95574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70" w:type="dxa"/>
            <w:vAlign w:val="center"/>
          </w:tcPr>
          <w:p>
            <w:pPr>
              <w:adjustRightInd w:val="0"/>
              <w:snapToGrid w:val="0"/>
              <w:spacing w:line="286" w:lineRule="auto"/>
              <w:jc w:val="left"/>
              <w:rPr>
                <w:rFonts w:hint="default"/>
                <w:sz w:val="18"/>
                <w:szCs w:val="18"/>
                <w:highlight w:val="none"/>
                <w:vertAlign w:val="baseline"/>
                <w:lang w:val="en-US" w:eastAsia="zh-CN"/>
              </w:rPr>
            </w:pPr>
            <w:r>
              <w:rPr>
                <w:rFonts w:hint="eastAsia"/>
                <w:sz w:val="18"/>
                <w:szCs w:val="18"/>
                <w:highlight w:val="none"/>
                <w:vertAlign w:val="baseline"/>
                <w:lang w:val="en-US" w:eastAsia="zh-CN"/>
              </w:rPr>
              <w:t>主要职责</w:t>
            </w:r>
          </w:p>
        </w:tc>
        <w:tc>
          <w:tcPr>
            <w:tcW w:w="7330" w:type="dxa"/>
          </w:tcPr>
          <w:p>
            <w:pPr>
              <w:adjustRightInd w:val="0"/>
              <w:snapToGrid w:val="0"/>
              <w:spacing w:line="286" w:lineRule="auto"/>
              <w:rPr>
                <w:rFonts w:hint="default"/>
                <w:sz w:val="18"/>
                <w:szCs w:val="18"/>
                <w:highlight w:val="none"/>
                <w:vertAlign w:val="baseline"/>
                <w:lang w:val="en-US" w:eastAsia="zh-CN"/>
              </w:rPr>
            </w:pP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tc>
      </w:tr>
    </w:tbl>
    <w:p>
      <w:pPr>
        <w:adjustRightInd w:val="0"/>
        <w:snapToGrid w:val="0"/>
        <w:spacing w:line="286" w:lineRule="auto"/>
        <w:rPr>
          <w:sz w:val="18"/>
          <w:szCs w:val="18"/>
          <w:highlight w:val="none"/>
        </w:rPr>
      </w:pPr>
    </w:p>
    <w:p>
      <w:pPr>
        <w:adjustRightInd w:val="0"/>
        <w:snapToGrid w:val="0"/>
        <w:spacing w:line="286" w:lineRule="auto"/>
        <w:rPr>
          <w:b/>
          <w:bCs/>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sz w:val="18"/>
          <w:szCs w:val="18"/>
          <w:highlight w:val="none"/>
        </w:rPr>
      </w:pPr>
      <w:r>
        <w:rPr>
          <w:rFonts w:hint="eastAsia"/>
          <w:sz w:val="18"/>
          <w:szCs w:val="18"/>
          <w:highlight w:val="none"/>
        </w:rPr>
        <w:t>本理财产品估值日为每个</w:t>
      </w:r>
      <w:r>
        <w:rPr>
          <w:rFonts w:hint="eastAsia"/>
          <w:sz w:val="18"/>
          <w:szCs w:val="18"/>
          <w:highlight w:val="none"/>
          <w:lang w:val="en-US" w:eastAsia="zh-CN"/>
        </w:rPr>
        <w:t>自然</w:t>
      </w:r>
      <w:r>
        <w:rPr>
          <w:rFonts w:hint="eastAsia"/>
          <w:sz w:val="18"/>
          <w:szCs w:val="18"/>
          <w:highlight w:val="none"/>
        </w:rPr>
        <w:t xml:space="preserve">日，投资管理人和理财托管人核对估值结果（如遇非工作日顺延至下一工作日）。 </w:t>
      </w:r>
    </w:p>
    <w:p>
      <w:pPr>
        <w:adjustRightInd w:val="0"/>
        <w:snapToGrid w:val="0"/>
        <w:spacing w:line="286" w:lineRule="auto"/>
        <w:rPr>
          <w:rFonts w:hint="eastAsia"/>
          <w:sz w:val="18"/>
          <w:szCs w:val="18"/>
          <w:highlight w:val="none"/>
        </w:rPr>
      </w:pPr>
      <w:r>
        <w:rPr>
          <w:rFonts w:hint="eastAsia"/>
          <w:sz w:val="18"/>
          <w:szCs w:val="18"/>
          <w:highlight w:val="none"/>
        </w:rPr>
        <w:t>【估值对象】</w:t>
      </w:r>
    </w:p>
    <w:p>
      <w:pPr>
        <w:adjustRightInd w:val="0"/>
        <w:snapToGrid w:val="0"/>
        <w:spacing w:line="286" w:lineRule="auto"/>
        <w:rPr>
          <w:rFonts w:hint="eastAsia"/>
          <w:sz w:val="18"/>
          <w:szCs w:val="18"/>
          <w:highlight w:val="none"/>
        </w:rPr>
      </w:pPr>
      <w:r>
        <w:rPr>
          <w:rFonts w:hint="eastAsia"/>
          <w:sz w:val="18"/>
          <w:szCs w:val="18"/>
          <w:highlight w:val="none"/>
        </w:rPr>
        <w:t>本理财产品</w:t>
      </w:r>
      <w:r>
        <w:rPr>
          <w:rFonts w:hint="eastAsia"/>
          <w:sz w:val="18"/>
          <w:szCs w:val="18"/>
          <w:highlight w:val="none"/>
          <w:lang w:val="en-US" w:eastAsia="zh-CN"/>
        </w:rPr>
        <w:t>所有的资产及负债</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 xml:space="preserve">【估值目的】 </w:t>
      </w:r>
    </w:p>
    <w:p>
      <w:pPr>
        <w:adjustRightInd w:val="0"/>
        <w:snapToGrid w:val="0"/>
        <w:spacing w:line="286" w:lineRule="auto"/>
        <w:rPr>
          <w:rFonts w:hint="eastAsia"/>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估值原则】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理财产品投资金融资产在符合企业会计准则的前提下坚持公允价值计量原则，鼓励使用市值计量。符合以下条件之一的，可按照企业会计准则以摊余成本进行计量：</w:t>
      </w:r>
    </w:p>
    <w:p>
      <w:pPr>
        <w:adjustRightInd w:val="0"/>
        <w:snapToGrid w:val="0"/>
        <w:spacing w:line="286" w:lineRule="auto"/>
        <w:rPr>
          <w:rFonts w:hint="eastAsia"/>
          <w:sz w:val="18"/>
          <w:szCs w:val="18"/>
          <w:highlight w:val="none"/>
        </w:rPr>
      </w:pPr>
      <w:r>
        <w:rPr>
          <w:rFonts w:hint="eastAsia"/>
          <w:sz w:val="18"/>
          <w:szCs w:val="18"/>
          <w:highlight w:val="none"/>
        </w:rPr>
        <w:t>（一）资产管理产品为封闭式产品，且所投金融资产以收取合同现金流量为目的并持有到期。</w:t>
      </w:r>
    </w:p>
    <w:p>
      <w:pPr>
        <w:adjustRightInd w:val="0"/>
        <w:snapToGrid w:val="0"/>
        <w:spacing w:line="286" w:lineRule="auto"/>
        <w:rPr>
          <w:rFonts w:hint="eastAsia"/>
          <w:sz w:val="18"/>
          <w:szCs w:val="18"/>
          <w:highlight w:val="none"/>
        </w:rPr>
      </w:pPr>
      <w:r>
        <w:rPr>
          <w:rFonts w:hint="eastAsia"/>
          <w:sz w:val="18"/>
          <w:szCs w:val="18"/>
          <w:highlight w:val="none"/>
        </w:rPr>
        <w:t>（二）资产管理产品为封闭式产品，且所投金融资产暂不具备活跃交易市场，或者在活跃市场中没有报价、也不能采用估值技术可靠计量公允价值。</w:t>
      </w:r>
    </w:p>
    <w:p>
      <w:pPr>
        <w:adjustRightInd w:val="0"/>
        <w:snapToGrid w:val="0"/>
        <w:spacing w:line="286" w:lineRule="auto"/>
        <w:rPr>
          <w:rFonts w:hint="default" w:eastAsia="宋体"/>
          <w:sz w:val="18"/>
          <w:szCs w:val="18"/>
          <w:highlight w:val="none"/>
          <w:lang w:val="en-US" w:eastAsia="zh-CN"/>
        </w:rPr>
      </w:pPr>
      <w:r>
        <w:rPr>
          <w:rFonts w:hint="eastAsia"/>
          <w:sz w:val="18"/>
          <w:szCs w:val="18"/>
          <w:highlight w:val="none"/>
          <w:lang w:val="en-US" w:eastAsia="zh-CN"/>
        </w:rPr>
        <w:t>如财政部、中国人民银行、国家金融监督管理总局等有关部门对估值原则另有规定的，从其规定。</w:t>
      </w:r>
    </w:p>
    <w:p>
      <w:pPr>
        <w:adjustRightInd w:val="0"/>
        <w:snapToGrid w:val="0"/>
        <w:spacing w:line="286" w:lineRule="auto"/>
        <w:rPr>
          <w:rFonts w:hint="eastAsia"/>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（2）货币</w:t>
      </w:r>
      <w:r>
        <w:rPr>
          <w:rFonts w:hint="eastAsia"/>
          <w:sz w:val="18"/>
          <w:szCs w:val="18"/>
          <w:highlight w:val="none"/>
          <w:lang w:val="en-US" w:eastAsia="zh-CN"/>
        </w:rPr>
        <w:t>市场</w:t>
      </w:r>
      <w:r>
        <w:rPr>
          <w:rFonts w:hint="eastAsia"/>
          <w:sz w:val="18"/>
          <w:szCs w:val="18"/>
          <w:highlight w:val="none"/>
        </w:rPr>
        <w:t xml:space="preserve">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3</w:t>
      </w:r>
      <w:r>
        <w:rPr>
          <w:rFonts w:hint="eastAsia"/>
          <w:sz w:val="18"/>
          <w:szCs w:val="18"/>
          <w:highlight w:val="none"/>
        </w:rPr>
        <w:t>、基金、证券、保险等资产管理计划和信托计划等资产（不含货币市场基金）：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4</w:t>
      </w:r>
      <w:r>
        <w:rPr>
          <w:rFonts w:hint="eastAsia"/>
          <w:sz w:val="18"/>
          <w:szCs w:val="18"/>
          <w:highlight w:val="none"/>
        </w:rPr>
        <w:t>、其他资产：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5</w:t>
      </w:r>
      <w:r>
        <w:rPr>
          <w:rFonts w:hint="eastAsia"/>
          <w:sz w:val="18"/>
          <w:szCs w:val="18"/>
          <w:highlight w:val="none"/>
        </w:rPr>
        <w:t>、其他事项</w:t>
      </w:r>
    </w:p>
    <w:p>
      <w:pPr>
        <w:adjustRightInd w:val="0"/>
        <w:snapToGrid w:val="0"/>
        <w:spacing w:line="286" w:lineRule="auto"/>
        <w:rPr>
          <w:sz w:val="18"/>
          <w:szCs w:val="18"/>
          <w:highlight w:val="none"/>
        </w:rPr>
      </w:pPr>
      <w:r>
        <w:rPr>
          <w:rFonts w:hint="eastAsia"/>
          <w:sz w:val="18"/>
          <w:szCs w:val="18"/>
          <w:highlight w:val="none"/>
        </w:rPr>
        <w:t>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highlight w:val="none"/>
        </w:rPr>
      </w:pPr>
      <w:r>
        <w:rPr>
          <w:rFonts w:hint="eastAsia"/>
          <w:sz w:val="18"/>
          <w:szCs w:val="18"/>
          <w:highlight w:val="none"/>
        </w:rPr>
        <w:t>【暂停估值】</w:t>
      </w:r>
    </w:p>
    <w:p>
      <w:pPr>
        <w:adjustRightInd w:val="0"/>
        <w:snapToGrid w:val="0"/>
        <w:spacing w:line="286" w:lineRule="auto"/>
        <w:rPr>
          <w:sz w:val="18"/>
          <w:szCs w:val="18"/>
          <w:highlight w:val="none"/>
        </w:rPr>
      </w:pPr>
      <w:r>
        <w:rPr>
          <w:rFonts w:hint="eastAsia"/>
          <w:sz w:val="18"/>
          <w:szCs w:val="18"/>
          <w:highlight w:val="none"/>
        </w:rPr>
        <w:t>本理财计划可暂停估值的情形如下：</w:t>
      </w:r>
    </w:p>
    <w:p>
      <w:pPr>
        <w:adjustRightInd w:val="0"/>
        <w:snapToGrid w:val="0"/>
        <w:spacing w:line="286" w:lineRule="auto"/>
        <w:rPr>
          <w:sz w:val="18"/>
          <w:szCs w:val="18"/>
          <w:highlight w:val="none"/>
        </w:rPr>
      </w:pPr>
      <w:r>
        <w:rPr>
          <w:rFonts w:hint="eastAsia"/>
          <w:sz w:val="18"/>
          <w:szCs w:val="18"/>
          <w:highlight w:val="none"/>
        </w:rPr>
        <w:t>1、理财产品投资所涉及的交易市场遇法定节假日或其他原因暂停营业时。</w:t>
      </w:r>
    </w:p>
    <w:p>
      <w:pPr>
        <w:adjustRightInd w:val="0"/>
        <w:snapToGrid w:val="0"/>
        <w:spacing w:line="286" w:lineRule="auto"/>
        <w:rPr>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sz w:val="18"/>
          <w:szCs w:val="18"/>
          <w:highlight w:val="none"/>
        </w:rPr>
        <w:t>本产品业绩比较基准仅作为计提产品浮动管理费的依据，不构成温州银行对该理财产品的任何收益承诺。</w:t>
      </w:r>
      <w:r>
        <w:rPr>
          <w:sz w:val="18"/>
          <w:szCs w:val="18"/>
          <w:highlight w:val="none"/>
        </w:rPr>
        <w:t>本理财产品成立后，</w:t>
      </w:r>
      <w:r>
        <w:rPr>
          <w:rFonts w:hint="eastAsia"/>
          <w:sz w:val="18"/>
          <w:szCs w:val="18"/>
          <w:highlight w:val="none"/>
        </w:rPr>
        <w:t>温州</w:t>
      </w:r>
      <w:r>
        <w:rPr>
          <w:sz w:val="18"/>
          <w:szCs w:val="18"/>
          <w:highlight w:val="none"/>
        </w:rPr>
        <w:t>银行将至少在投资周期产品预约申购期开始前一个工作日公布本理财产品在</w:t>
      </w:r>
      <w:r>
        <w:rPr>
          <w:rFonts w:hint="eastAsia"/>
          <w:sz w:val="18"/>
          <w:szCs w:val="18"/>
          <w:highlight w:val="none"/>
        </w:rPr>
        <w:t>下一</w:t>
      </w:r>
      <w:r>
        <w:rPr>
          <w:sz w:val="18"/>
          <w:szCs w:val="18"/>
          <w:highlight w:val="none"/>
        </w:rPr>
        <w:t>投资周期的</w:t>
      </w:r>
      <w:r>
        <w:rPr>
          <w:rFonts w:hint="eastAsia"/>
          <w:sz w:val="18"/>
          <w:szCs w:val="18"/>
          <w:highlight w:val="none"/>
        </w:rPr>
        <w:t>业绩比较基准</w:t>
      </w:r>
      <w:r>
        <w:rPr>
          <w:sz w:val="18"/>
          <w:szCs w:val="18"/>
          <w:highlight w:val="none"/>
        </w:rPr>
        <w:t>。在该投资周期购买的客户详见</w:t>
      </w:r>
      <w:r>
        <w:rPr>
          <w:rFonts w:hint="eastAsia"/>
          <w:color w:val="000000"/>
          <w:sz w:val="18"/>
          <w:szCs w:val="18"/>
          <w:highlight w:val="none"/>
        </w:rPr>
        <w:t>《温州银行“金鹿理财-温盈”20069号开放式净值型（第i期）银行理财计划开放认购（申购）申请书》。投资运作周期到期时，该周期内的资金收益情况根据所投资资产组合的实际运作情况确定。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highlight w:val="none"/>
        </w:rPr>
      </w:pPr>
      <w:r>
        <w:rPr>
          <w:rFonts w:hint="eastAsia"/>
          <w:sz w:val="18"/>
          <w:szCs w:val="18"/>
          <w:highlight w:val="none"/>
        </w:rPr>
        <w:t>【理财产品单位净值】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w:t>
      </w:r>
      <w:r>
        <w:rPr>
          <w:rFonts w:hint="eastAsia"/>
          <w:sz w:val="18"/>
          <w:szCs w:val="18"/>
          <w:highlight w:val="none"/>
          <w:lang w:val="en-US" w:eastAsia="zh-CN"/>
        </w:rPr>
        <w:t>总</w:t>
      </w:r>
      <w:r>
        <w:rPr>
          <w:rFonts w:hint="eastAsia"/>
          <w:sz w:val="18"/>
          <w:szCs w:val="18"/>
          <w:highlight w:val="none"/>
        </w:rPr>
        <w:t>净值÷理财产品</w:t>
      </w:r>
      <w:r>
        <w:rPr>
          <w:rFonts w:hint="eastAsia"/>
          <w:sz w:val="18"/>
          <w:szCs w:val="18"/>
          <w:highlight w:val="none"/>
          <w:lang w:val="en-US" w:eastAsia="zh-CN"/>
        </w:rPr>
        <w:t>总</w:t>
      </w:r>
      <w:r>
        <w:rPr>
          <w:rFonts w:hint="eastAsia"/>
          <w:sz w:val="18"/>
          <w:szCs w:val="18"/>
          <w:highlight w:val="none"/>
        </w:rPr>
        <w:t>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理财产品单位净值为提取相关费用后的净值，客户按该单位净值进行产品周期清算/到期终止清算时的分配。</w:t>
      </w:r>
    </w:p>
    <w:p>
      <w:pPr>
        <w:adjustRightInd w:val="0"/>
        <w:snapToGrid w:val="0"/>
        <w:spacing w:line="286" w:lineRule="auto"/>
        <w:rPr>
          <w:sz w:val="18"/>
          <w:szCs w:val="18"/>
          <w:highlight w:val="none"/>
        </w:rPr>
      </w:pPr>
      <w:r>
        <w:rPr>
          <w:rFonts w:hint="eastAsia"/>
          <w:sz w:val="18"/>
          <w:szCs w:val="18"/>
          <w:highlight w:val="none"/>
        </w:rPr>
        <w:t>【理财计划申购、赎回】</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lang w:eastAsia="zh-CN"/>
        </w:rPr>
        <w:t>、</w:t>
      </w:r>
      <w:r>
        <w:rPr>
          <w:sz w:val="18"/>
          <w:szCs w:val="18"/>
          <w:highlight w:val="none"/>
        </w:rPr>
        <w:t>投资</w:t>
      </w:r>
      <w:r>
        <w:rPr>
          <w:rFonts w:hint="eastAsia"/>
          <w:sz w:val="18"/>
          <w:szCs w:val="18"/>
          <w:highlight w:val="none"/>
        </w:rPr>
        <w:t>运作</w:t>
      </w:r>
      <w:r>
        <w:rPr>
          <w:sz w:val="18"/>
          <w:szCs w:val="18"/>
          <w:highlight w:val="none"/>
        </w:rPr>
        <w:t>周期</w:t>
      </w:r>
      <w:r>
        <w:rPr>
          <w:rFonts w:hint="eastAsia"/>
          <w:color w:val="000000"/>
          <w:sz w:val="18"/>
          <w:szCs w:val="18"/>
          <w:highlight w:val="none"/>
        </w:rPr>
        <w:t>：本理财计划成立日为2020年10月9日，从成立日起，每</w:t>
      </w:r>
      <w:r>
        <w:rPr>
          <w:rFonts w:ascii="宋体" w:hAnsi="宋体"/>
          <w:sz w:val="18"/>
          <w:highlight w:val="none"/>
        </w:rPr>
        <w:t>【</w:t>
      </w:r>
      <w:r>
        <w:rPr>
          <w:rFonts w:hint="eastAsia" w:ascii="宋体" w:hAnsi="宋体"/>
          <w:color w:val="000000"/>
          <w:sz w:val="18"/>
          <w:highlight w:val="none"/>
        </w:rPr>
        <w:t>369</w:t>
      </w:r>
      <w:r>
        <w:rPr>
          <w:rFonts w:ascii="宋体" w:hAnsi="宋体"/>
          <w:sz w:val="18"/>
          <w:highlight w:val="none"/>
        </w:rPr>
        <w:t>】天</w:t>
      </w:r>
      <w:r>
        <w:rPr>
          <w:rFonts w:hint="eastAsia"/>
          <w:sz w:val="18"/>
          <w:szCs w:val="18"/>
          <w:highlight w:val="none"/>
        </w:rPr>
        <w:t>为一个投资运作周期</w:t>
      </w:r>
      <w:r>
        <w:rPr>
          <w:rFonts w:ascii="宋体" w:hAnsi="宋体"/>
          <w:sz w:val="18"/>
          <w:highlight w:val="none"/>
        </w:rPr>
        <w:t>，</w:t>
      </w:r>
      <w:r>
        <w:rPr>
          <w:rFonts w:hint="eastAsia" w:ascii="宋体" w:hAnsi="宋体"/>
          <w:sz w:val="18"/>
          <w:highlight w:val="none"/>
        </w:rPr>
        <w:t>在本理财计划存续期内开放的其他</w:t>
      </w:r>
      <w:r>
        <w:rPr>
          <w:rFonts w:ascii="宋体" w:hAnsi="宋体"/>
          <w:sz w:val="18"/>
          <w:highlight w:val="none"/>
        </w:rPr>
        <w:t>投资周期可能会因非</w:t>
      </w:r>
      <w:r>
        <w:rPr>
          <w:rFonts w:hint="eastAsia" w:ascii="宋体" w:hAnsi="宋体"/>
          <w:sz w:val="18"/>
          <w:highlight w:val="none"/>
          <w:lang w:val="en-US" w:eastAsia="zh-CN"/>
        </w:rPr>
        <w:t>交易</w:t>
      </w:r>
      <w:r>
        <w:rPr>
          <w:rFonts w:ascii="宋体" w:hAnsi="宋体"/>
          <w:sz w:val="18"/>
          <w:highlight w:val="none"/>
        </w:rPr>
        <w:t>日调整大于或小于【</w:t>
      </w:r>
      <w:r>
        <w:rPr>
          <w:rFonts w:hint="eastAsia" w:ascii="宋体" w:hAnsi="宋体"/>
          <w:color w:val="000000"/>
          <w:sz w:val="18"/>
          <w:highlight w:val="none"/>
        </w:rPr>
        <w:t>369</w:t>
      </w:r>
      <w:r>
        <w:rPr>
          <w:rFonts w:ascii="宋体" w:hAnsi="宋体"/>
          <w:sz w:val="18"/>
          <w:highlight w:val="none"/>
        </w:rPr>
        <w:t>】天</w:t>
      </w:r>
      <w:r>
        <w:rPr>
          <w:rFonts w:hint="eastAsia"/>
          <w:sz w:val="18"/>
          <w:szCs w:val="18"/>
          <w:highlight w:val="none"/>
        </w:rPr>
        <w:t>。</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lang w:eastAsia="zh-CN"/>
        </w:rPr>
        <w:t>、</w:t>
      </w:r>
      <w:r>
        <w:rPr>
          <w:rFonts w:hint="eastAsia"/>
          <w:sz w:val="18"/>
          <w:szCs w:val="18"/>
          <w:highlight w:val="none"/>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lang w:eastAsia="zh-CN"/>
        </w:rPr>
        <w:t>、</w:t>
      </w:r>
      <w:r>
        <w:rPr>
          <w:rFonts w:hint="eastAsia"/>
          <w:sz w:val="18"/>
          <w:szCs w:val="18"/>
          <w:highlight w:val="none"/>
        </w:rPr>
        <w:t>申购、赎回原则</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）投资者赎回本理财计划时，温州银行不承诺保证本金，也不承诺任何收益。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）本理财计划在每个开放期的工作时间可以提交申购和赎回申请，交易申请将在本次开放期后的第一个确认日确认。</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3</w:t>
      </w:r>
      <w:r>
        <w:rPr>
          <w:rFonts w:hint="eastAsia"/>
          <w:sz w:val="18"/>
          <w:szCs w:val="18"/>
          <w:highlight w:val="none"/>
        </w:rPr>
        <w:t>）本理财计划采用金额申购、份额赎回的原则，即申购以金额申请，赎回以份额赎回。</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4</w:t>
      </w:r>
      <w:r>
        <w:rPr>
          <w:rFonts w:hint="eastAsia"/>
          <w:sz w:val="18"/>
          <w:szCs w:val="18"/>
          <w:highlight w:val="none"/>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5</w:t>
      </w:r>
      <w:r>
        <w:rPr>
          <w:rFonts w:hint="eastAsia"/>
          <w:sz w:val="18"/>
          <w:szCs w:val="18"/>
          <w:highlight w:val="none"/>
        </w:rPr>
        <w:t>）投资者可于开放期内向温州银行提出赎回申请，温州银行按照先申请、先赎回原则确认赎回申请</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6</w:t>
      </w:r>
      <w:r>
        <w:rPr>
          <w:rFonts w:hint="eastAsia"/>
          <w:sz w:val="18"/>
          <w:szCs w:val="18"/>
          <w:highlight w:val="none"/>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7</w:t>
      </w:r>
      <w:r>
        <w:rPr>
          <w:rFonts w:hint="eastAsia"/>
          <w:sz w:val="18"/>
          <w:szCs w:val="18"/>
          <w:highlight w:val="none"/>
        </w:rPr>
        <w:t>）投资者有权部分或全部赎回理财计划份额。全部赎回理财计划份额后，投资者如需再次申购，则申购的金额不得低于人民币</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认购起点</w:instrText>
      </w:r>
      <w:r>
        <w:rPr>
          <w:sz w:val="18"/>
          <w:szCs w:val="18"/>
          <w:highlight w:val="none"/>
        </w:rPr>
        <w:fldChar w:fldCharType="separate"/>
      </w:r>
      <w:r>
        <w:rPr>
          <w:sz w:val="18"/>
          <w:szCs w:val="18"/>
          <w:highlight w:val="none"/>
        </w:rPr>
        <w:t>1</w:t>
      </w:r>
      <w:r>
        <w:rPr>
          <w:rFonts w:hint="eastAsia"/>
          <w:sz w:val="18"/>
          <w:szCs w:val="18"/>
          <w:highlight w:val="none"/>
        </w:rPr>
        <w:t>万</w:t>
      </w:r>
      <w:r>
        <w:rPr>
          <w:sz w:val="18"/>
          <w:szCs w:val="18"/>
          <w:highlight w:val="none"/>
        </w:rPr>
        <w:fldChar w:fldCharType="end"/>
      </w:r>
      <w:r>
        <w:rPr>
          <w:rFonts w:hint="eastAsia"/>
          <w:sz w:val="18"/>
          <w:szCs w:val="18"/>
          <w:highlight w:val="none"/>
        </w:rPr>
        <w:t>元。部分赎回理财计划份额后，投资者如需再行申购，则申购最低金额为人民币</w:t>
      </w:r>
      <w:r>
        <w:rPr>
          <w:sz w:val="18"/>
          <w:szCs w:val="18"/>
          <w:highlight w:val="none"/>
        </w:rPr>
        <w:t>1</w:t>
      </w:r>
      <w:r>
        <w:rPr>
          <w:rFonts w:hint="eastAsia"/>
          <w:sz w:val="18"/>
          <w:szCs w:val="18"/>
          <w:highlight w:val="none"/>
          <w:lang w:eastAsia="zh-Hans"/>
        </w:rPr>
        <w:t>千</w:t>
      </w:r>
      <w:r>
        <w:rPr>
          <w:rFonts w:hint="eastAsia"/>
          <w:sz w:val="18"/>
          <w:szCs w:val="18"/>
          <w:highlight w:val="none"/>
        </w:rPr>
        <w:t>元或人民币</w:t>
      </w:r>
      <w:r>
        <w:rPr>
          <w:sz w:val="18"/>
          <w:szCs w:val="18"/>
          <w:highlight w:val="none"/>
        </w:rPr>
        <w:t>1</w:t>
      </w:r>
      <w:r>
        <w:rPr>
          <w:rFonts w:hint="eastAsia"/>
          <w:sz w:val="18"/>
          <w:szCs w:val="18"/>
          <w:highlight w:val="none"/>
          <w:lang w:eastAsia="zh-Hans"/>
        </w:rPr>
        <w:t>千</w:t>
      </w:r>
      <w:r>
        <w:rPr>
          <w:rFonts w:hint="eastAsia"/>
          <w:sz w:val="18"/>
          <w:szCs w:val="18"/>
          <w:highlight w:val="none"/>
        </w:rPr>
        <w:t>元的整数倍。</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8</w:t>
      </w:r>
      <w:r>
        <w:rPr>
          <w:rFonts w:hint="eastAsia"/>
          <w:sz w:val="18"/>
          <w:szCs w:val="18"/>
          <w:highlight w:val="none"/>
        </w:rPr>
        <w:t>）投资者在申购、赎回期内</w:t>
      </w:r>
      <w:r>
        <w:rPr>
          <w:sz w:val="18"/>
          <w:szCs w:val="18"/>
          <w:highlight w:val="none"/>
        </w:rPr>
        <w:t>提交的申购、赎回申请，在</w:t>
      </w:r>
      <w:r>
        <w:rPr>
          <w:rFonts w:hint="eastAsia"/>
          <w:sz w:val="18"/>
          <w:szCs w:val="18"/>
          <w:highlight w:val="none"/>
        </w:rPr>
        <w:t>被温州银行确认成功之前</w:t>
      </w:r>
      <w:r>
        <w:rPr>
          <w:sz w:val="18"/>
          <w:szCs w:val="18"/>
          <w:highlight w:val="none"/>
        </w:rPr>
        <w:t>的</w:t>
      </w:r>
      <w:r>
        <w:rPr>
          <w:rFonts w:hint="eastAsia"/>
          <w:sz w:val="18"/>
          <w:szCs w:val="18"/>
          <w:highlight w:val="none"/>
        </w:rPr>
        <w:t>开放日</w:t>
      </w:r>
      <w:r>
        <w:rPr>
          <w:sz w:val="18"/>
          <w:szCs w:val="18"/>
          <w:highlight w:val="none"/>
        </w:rPr>
        <w:t>的</w:t>
      </w:r>
      <w:r>
        <w:rPr>
          <w:rFonts w:hint="eastAsia"/>
          <w:sz w:val="18"/>
          <w:szCs w:val="18"/>
          <w:highlight w:val="none"/>
        </w:rPr>
        <w:t>交易</w:t>
      </w:r>
      <w:r>
        <w:rPr>
          <w:sz w:val="18"/>
          <w:szCs w:val="18"/>
          <w:highlight w:val="none"/>
        </w:rPr>
        <w:t>时间内</w:t>
      </w:r>
      <w:r>
        <w:rPr>
          <w:rFonts w:hint="eastAsia"/>
          <w:sz w:val="18"/>
          <w:szCs w:val="18"/>
          <w:highlight w:val="none"/>
        </w:rPr>
        <w:t>，可以撤销。</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9</w:t>
      </w:r>
      <w:r>
        <w:rPr>
          <w:rFonts w:hint="eastAsia"/>
          <w:sz w:val="18"/>
          <w:szCs w:val="18"/>
          <w:highlight w:val="none"/>
        </w:rPr>
        <w:t>）如赎回将导致单个投资者的理财计划份额余额不足</w:t>
      </w:r>
      <w:r>
        <w:rPr>
          <w:sz w:val="18"/>
          <w:szCs w:val="18"/>
          <w:highlight w:val="none"/>
        </w:rPr>
        <w:t>10000</w:t>
      </w:r>
      <w:r>
        <w:rPr>
          <w:sz w:val="18"/>
          <w:szCs w:val="18"/>
          <w:highlight w:val="none"/>
        </w:rPr>
        <w:fldChar w:fldCharType="begin"/>
      </w:r>
      <w:r>
        <w:rPr>
          <w:sz w:val="18"/>
          <w:szCs w:val="18"/>
          <w:highlight w:val="none"/>
        </w:rPr>
        <w:instrText xml:space="preserve"> MERGEFIELD </w:instrText>
      </w:r>
      <w:r>
        <w:rPr>
          <w:rFonts w:hint="eastAsia"/>
          <w:sz w:val="18"/>
          <w:szCs w:val="18"/>
          <w:highlight w:val="none"/>
        </w:rPr>
        <w:instrText xml:space="preserve">余额起点</w:instrText>
      </w:r>
      <w:r>
        <w:rPr>
          <w:sz w:val="18"/>
          <w:szCs w:val="18"/>
          <w:highlight w:val="none"/>
        </w:rPr>
        <w:fldChar w:fldCharType="end"/>
      </w:r>
      <w:r>
        <w:rPr>
          <w:rFonts w:hint="eastAsia"/>
          <w:sz w:val="18"/>
          <w:szCs w:val="18"/>
          <w:highlight w:val="none"/>
        </w:rPr>
        <w:t>份时，投资者剩余份额将被一次性全额赎回。</w:t>
      </w:r>
    </w:p>
    <w:p>
      <w:pPr>
        <w:adjustRightInd w:val="0"/>
        <w:snapToGrid w:val="0"/>
        <w:spacing w:line="286" w:lineRule="auto"/>
        <w:rPr>
          <w:sz w:val="18"/>
          <w:szCs w:val="18"/>
          <w:highlight w:val="none"/>
        </w:rPr>
      </w:pPr>
      <w:r>
        <w:rPr>
          <w:rFonts w:hint="eastAsia"/>
          <w:sz w:val="18"/>
          <w:szCs w:val="18"/>
          <w:highlight w:val="none"/>
        </w:rPr>
        <w:t>（10）巨额赎回：</w:t>
      </w:r>
    </w:p>
    <w:p>
      <w:pPr>
        <w:adjustRightInd w:val="0"/>
        <w:snapToGrid w:val="0"/>
        <w:spacing w:line="286" w:lineRule="auto"/>
        <w:rPr>
          <w:sz w:val="18"/>
          <w:szCs w:val="18"/>
          <w:highlight w:val="none"/>
        </w:rPr>
      </w:pPr>
      <w:r>
        <w:rPr>
          <w:rFonts w:hint="eastAsia" w:ascii="Calibri" w:hAnsi="Calibri" w:cs="Calibri"/>
          <w:sz w:val="18"/>
          <w:szCs w:val="18"/>
          <w:highlight w:val="none"/>
        </w:rPr>
        <w:t>1）</w:t>
      </w:r>
      <w:r>
        <w:rPr>
          <w:rFonts w:hint="eastAsia"/>
          <w:sz w:val="18"/>
          <w:szCs w:val="18"/>
          <w:highlight w:val="none"/>
        </w:rPr>
        <w:t>巨额赎回认定</w:t>
      </w:r>
    </w:p>
    <w:p>
      <w:pPr>
        <w:adjustRightInd w:val="0"/>
        <w:snapToGrid w:val="0"/>
        <w:spacing w:line="286" w:lineRule="auto"/>
        <w:rPr>
          <w:sz w:val="18"/>
          <w:szCs w:val="18"/>
          <w:highlight w:val="none"/>
        </w:rPr>
      </w:pPr>
      <w:r>
        <w:rPr>
          <w:rFonts w:hint="eastAsia"/>
          <w:sz w:val="18"/>
          <w:szCs w:val="18"/>
          <w:highlight w:val="none"/>
        </w:rPr>
        <w:t>理财计划存续期内，若理财计划赎回日净赎回申请份额超过</w:t>
      </w:r>
      <w:r>
        <w:rPr>
          <w:rFonts w:hint="eastAsia"/>
          <w:sz w:val="18"/>
          <w:szCs w:val="18"/>
          <w:highlight w:val="none"/>
          <w:lang w:val="en-US" w:eastAsia="zh-CN"/>
        </w:rPr>
        <w:t>前一</w:t>
      </w:r>
      <w:r>
        <w:rPr>
          <w:rFonts w:hint="eastAsia"/>
          <w:sz w:val="18"/>
          <w:szCs w:val="18"/>
          <w:highlight w:val="none"/>
        </w:rPr>
        <w:t>日终理财计划总份额10%时，即构成巨额赎回，监管机构另有规定的除外。</w:t>
      </w:r>
    </w:p>
    <w:p>
      <w:pPr>
        <w:adjustRightInd w:val="0"/>
        <w:snapToGrid w:val="0"/>
        <w:spacing w:line="286" w:lineRule="auto"/>
        <w:rPr>
          <w:sz w:val="18"/>
          <w:szCs w:val="18"/>
          <w:highlight w:val="none"/>
        </w:rPr>
      </w:pPr>
      <w:r>
        <w:rPr>
          <w:rFonts w:hint="eastAsia"/>
          <w:sz w:val="18"/>
          <w:szCs w:val="18"/>
          <w:highlight w:val="none"/>
        </w:rPr>
        <w:t>2）巨额赎回处理</w:t>
      </w:r>
    </w:p>
    <w:p>
      <w:pPr>
        <w:adjustRightInd w:val="0"/>
        <w:snapToGrid w:val="0"/>
        <w:spacing w:line="286" w:lineRule="auto"/>
        <w:rPr>
          <w:sz w:val="18"/>
          <w:szCs w:val="18"/>
          <w:highlight w:val="none"/>
        </w:rPr>
      </w:pPr>
      <w:r>
        <w:rPr>
          <w:rFonts w:hint="eastAsia"/>
          <w:sz w:val="18"/>
          <w:szCs w:val="18"/>
          <w:highlight w:val="none"/>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highlight w:val="none"/>
        </w:rPr>
      </w:pPr>
      <w:r>
        <w:rPr>
          <w:rFonts w:hint="eastAsia"/>
          <w:sz w:val="18"/>
          <w:szCs w:val="18"/>
          <w:highlight w:val="none"/>
        </w:rPr>
        <w:fldChar w:fldCharType="begin"/>
      </w:r>
      <w:r>
        <w:rPr>
          <w:rFonts w:hint="eastAsia"/>
          <w:sz w:val="18"/>
          <w:szCs w:val="18"/>
          <w:highlight w:val="none"/>
        </w:rPr>
        <w:instrText xml:space="preserve"> = 1 \* GB3 \* MERGEFORMAT </w:instrText>
      </w:r>
      <w:r>
        <w:rPr>
          <w:rFonts w:hint="eastAsia"/>
          <w:sz w:val="18"/>
          <w:szCs w:val="18"/>
          <w:highlight w:val="none"/>
        </w:rPr>
        <w:fldChar w:fldCharType="separate"/>
      </w:r>
      <w:r>
        <w:rPr>
          <w:highlight w:val="none"/>
        </w:rPr>
        <w:t>①</w:t>
      </w:r>
      <w:r>
        <w:rPr>
          <w:rFonts w:hint="eastAsia"/>
          <w:sz w:val="18"/>
          <w:szCs w:val="18"/>
          <w:highlight w:val="none"/>
        </w:rPr>
        <w:fldChar w:fldCharType="end"/>
      </w:r>
      <w:r>
        <w:rPr>
          <w:rFonts w:hint="eastAsia"/>
          <w:sz w:val="18"/>
          <w:szCs w:val="18"/>
          <w:highlight w:val="none"/>
        </w:rPr>
        <w:t>全部赎回：当管理人认为有能力兑付投资者的全部赎回申请时，按正常赎回程序执行。</w:t>
      </w:r>
    </w:p>
    <w:p>
      <w:pPr>
        <w:adjustRightInd w:val="0"/>
        <w:snapToGrid w:val="0"/>
        <w:spacing w:line="286" w:lineRule="auto"/>
        <w:rPr>
          <w:sz w:val="18"/>
          <w:szCs w:val="18"/>
          <w:highlight w:val="none"/>
        </w:rPr>
      </w:pPr>
      <w:r>
        <w:rPr>
          <w:rFonts w:ascii="Calibri" w:hAnsi="Calibri" w:cs="Calibri"/>
          <w:sz w:val="18"/>
          <w:szCs w:val="18"/>
          <w:highlight w:val="none"/>
        </w:rPr>
        <w:t>②</w:t>
      </w:r>
      <w:r>
        <w:rPr>
          <w:rFonts w:hint="eastAsia"/>
          <w:sz w:val="18"/>
          <w:szCs w:val="18"/>
          <w:highlight w:val="none"/>
        </w:rPr>
        <w:t>部分赎回：当管理人办理的赎回份额不低于理财计划</w:t>
      </w:r>
      <w:r>
        <w:rPr>
          <w:rFonts w:hint="eastAsia"/>
          <w:sz w:val="18"/>
          <w:szCs w:val="18"/>
          <w:highlight w:val="none"/>
          <w:lang w:val="en-US" w:eastAsia="zh-CN"/>
        </w:rPr>
        <w:t>前一</w:t>
      </w:r>
      <w:r>
        <w:rPr>
          <w:rFonts w:hint="eastAsia"/>
          <w:sz w:val="18"/>
          <w:szCs w:val="18"/>
          <w:highlight w:val="none"/>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③</w:t>
      </w:r>
      <w:r>
        <w:rPr>
          <w:rFonts w:hint="eastAsia" w:ascii="Calibri" w:hAnsi="Calibri" w:cs="Calibri"/>
          <w:sz w:val="18"/>
          <w:szCs w:val="18"/>
          <w:highlight w:val="none"/>
        </w:rPr>
        <w:t>延期支付赎回款项：</w:t>
      </w:r>
      <w:r>
        <w:rPr>
          <w:rFonts w:ascii="Calibri" w:hAnsi="Calibri" w:cs="Calibri"/>
          <w:sz w:val="18"/>
          <w:szCs w:val="18"/>
          <w:highlight w:val="none"/>
        </w:rPr>
        <w:t>连续2个</w:t>
      </w:r>
      <w:r>
        <w:rPr>
          <w:rFonts w:hint="eastAsia" w:ascii="Calibri" w:hAnsi="Calibri" w:cs="Calibri"/>
          <w:sz w:val="18"/>
          <w:szCs w:val="18"/>
          <w:highlight w:val="none"/>
        </w:rPr>
        <w:t>（含）</w:t>
      </w:r>
      <w:r>
        <w:rPr>
          <w:rFonts w:ascii="Calibri" w:hAnsi="Calibri" w:cs="Calibri"/>
          <w:sz w:val="18"/>
          <w:szCs w:val="18"/>
          <w:highlight w:val="none"/>
        </w:rPr>
        <w:t>以上开放日发生巨额赎回的，除采取</w:t>
      </w:r>
      <w:r>
        <w:rPr>
          <w:rFonts w:hint="eastAsia" w:ascii="Calibri" w:hAnsi="Calibri" w:cs="Calibri"/>
          <w:sz w:val="18"/>
          <w:szCs w:val="18"/>
          <w:highlight w:val="none"/>
        </w:rPr>
        <w:t>前述</w:t>
      </w:r>
      <w:r>
        <w:rPr>
          <w:rFonts w:ascii="Calibri" w:hAnsi="Calibri" w:cs="Calibri"/>
          <w:sz w:val="18"/>
          <w:szCs w:val="18"/>
          <w:highlight w:val="none"/>
        </w:rPr>
        <w:t>措施外，对于已经接受的赎回申请，</w:t>
      </w:r>
      <w:r>
        <w:rPr>
          <w:rFonts w:hint="eastAsia" w:ascii="Calibri" w:hAnsi="Calibri" w:cs="Calibri"/>
          <w:sz w:val="18"/>
          <w:szCs w:val="18"/>
          <w:highlight w:val="none"/>
        </w:rPr>
        <w:t>管理人</w:t>
      </w:r>
      <w:r>
        <w:rPr>
          <w:rFonts w:ascii="Calibri" w:hAnsi="Calibri" w:cs="Calibri"/>
          <w:sz w:val="18"/>
          <w:szCs w:val="18"/>
          <w:highlight w:val="none"/>
        </w:rPr>
        <w:t>还可以延缓支付赎回款项，但延缓期限不得超过20个工作日。</w:t>
      </w:r>
    </w:p>
    <w:p>
      <w:pPr>
        <w:adjustRightInd w:val="0"/>
        <w:snapToGrid w:val="0"/>
        <w:spacing w:line="286" w:lineRule="auto"/>
        <w:rPr>
          <w:rFonts w:ascii="Calibri" w:hAnsi="Calibri" w:cs="Calibri"/>
          <w:sz w:val="18"/>
          <w:szCs w:val="18"/>
          <w:highlight w:val="none"/>
        </w:rPr>
      </w:pPr>
      <w:r>
        <w:rPr>
          <w:rFonts w:ascii="Calibri" w:hAnsi="Calibri" w:cs="Calibri"/>
          <w:sz w:val="18"/>
          <w:szCs w:val="18"/>
          <w:highlight w:val="none"/>
        </w:rPr>
        <w:t>④</w:t>
      </w:r>
      <w:r>
        <w:rPr>
          <w:rFonts w:hint="eastAsia" w:ascii="Calibri" w:hAnsi="Calibri" w:cs="Calibri"/>
          <w:sz w:val="18"/>
          <w:szCs w:val="18"/>
          <w:highlight w:val="none"/>
        </w:rPr>
        <w:t>收取短期赎回费：产品发生巨额赎回或管理人认为可能</w:t>
      </w:r>
      <w:r>
        <w:rPr>
          <w:rFonts w:hint="eastAsia" w:ascii="Calibri" w:hAnsi="Calibri" w:cs="Calibri"/>
          <w:sz w:val="18"/>
          <w:szCs w:val="18"/>
          <w:highlight w:val="none"/>
          <w:lang w:val="en-US" w:eastAsia="zh-CN"/>
        </w:rPr>
        <w:t>会</w:t>
      </w:r>
      <w:r>
        <w:rPr>
          <w:rFonts w:hint="eastAsia" w:ascii="Calibri" w:hAnsi="Calibri" w:cs="Calibri"/>
          <w:sz w:val="18"/>
          <w:szCs w:val="18"/>
          <w:highlight w:val="none"/>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highlight w:val="none"/>
        </w:rPr>
      </w:pPr>
      <w:r>
        <w:rPr>
          <w:rFonts w:hint="eastAsia"/>
          <w:sz w:val="18"/>
          <w:szCs w:val="18"/>
          <w:highlight w:val="none"/>
        </w:rPr>
        <w:t>摆动定价机制</w:t>
      </w:r>
    </w:p>
    <w:p>
      <w:pPr>
        <w:adjustRightInd w:val="0"/>
        <w:snapToGrid w:val="0"/>
        <w:spacing w:line="286" w:lineRule="auto"/>
        <w:rPr>
          <w:sz w:val="18"/>
          <w:szCs w:val="18"/>
          <w:highlight w:val="none"/>
        </w:rPr>
      </w:pPr>
      <w:r>
        <w:rPr>
          <w:rFonts w:hint="eastAsia"/>
          <w:sz w:val="18"/>
          <w:szCs w:val="18"/>
          <w:highlight w:val="none"/>
        </w:rPr>
        <w:t>当产品</w:t>
      </w:r>
      <w:r>
        <w:rPr>
          <w:sz w:val="18"/>
          <w:szCs w:val="18"/>
          <w:highlight w:val="none"/>
        </w:rPr>
        <w:t>发生大额认</w:t>
      </w:r>
      <w:r>
        <w:rPr>
          <w:rFonts w:hint="eastAsia"/>
          <w:sz w:val="18"/>
          <w:szCs w:val="18"/>
          <w:highlight w:val="none"/>
        </w:rPr>
        <w:t>（申）</w:t>
      </w:r>
      <w:r>
        <w:rPr>
          <w:sz w:val="18"/>
          <w:szCs w:val="18"/>
          <w:highlight w:val="none"/>
        </w:rPr>
        <w:t>购或赎回时，</w:t>
      </w:r>
      <w:r>
        <w:rPr>
          <w:rFonts w:hint="eastAsia"/>
          <w:sz w:val="18"/>
          <w:szCs w:val="18"/>
          <w:highlight w:val="none"/>
        </w:rPr>
        <w:t>管理人</w:t>
      </w:r>
      <w:r>
        <w:rPr>
          <w:sz w:val="18"/>
          <w:szCs w:val="18"/>
          <w:highlight w:val="none"/>
        </w:rPr>
        <w:t>可以采用摆动定价机制</w:t>
      </w:r>
      <w:r>
        <w:rPr>
          <w:rFonts w:hint="eastAsia"/>
          <w:sz w:val="18"/>
          <w:szCs w:val="18"/>
          <w:highlight w:val="none"/>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highlight w:val="none"/>
        </w:rPr>
      </w:pPr>
      <w:r>
        <w:rPr>
          <w:rFonts w:hint="eastAsia"/>
          <w:sz w:val="18"/>
          <w:szCs w:val="18"/>
          <w:highlight w:val="none"/>
        </w:rPr>
        <w:t>4</w:t>
      </w:r>
      <w:r>
        <w:rPr>
          <w:rFonts w:hint="eastAsia"/>
          <w:sz w:val="18"/>
          <w:szCs w:val="18"/>
          <w:highlight w:val="none"/>
          <w:lang w:eastAsia="zh-CN"/>
        </w:rPr>
        <w:t>、</w:t>
      </w:r>
      <w:r>
        <w:rPr>
          <w:rFonts w:hint="eastAsia"/>
          <w:sz w:val="18"/>
          <w:szCs w:val="18"/>
          <w:highlight w:val="none"/>
        </w:rPr>
        <w:t>申购、赎回程序</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1）申购、赎回的申请方式</w:t>
      </w:r>
    </w:p>
    <w:p>
      <w:pPr>
        <w:adjustRightInd w:val="0"/>
        <w:snapToGrid w:val="0"/>
        <w:spacing w:line="286" w:lineRule="auto"/>
        <w:rPr>
          <w:sz w:val="18"/>
          <w:szCs w:val="18"/>
          <w:highlight w:val="none"/>
        </w:rPr>
      </w:pPr>
      <w:r>
        <w:rPr>
          <w:rFonts w:hint="eastAsia"/>
          <w:sz w:val="18"/>
          <w:szCs w:val="18"/>
          <w:highlight w:val="none"/>
        </w:rPr>
        <w:t>投资者必须在开放期内提出申购、赎回的申请。</w:t>
      </w:r>
    </w:p>
    <w:p>
      <w:pPr>
        <w:adjustRightInd w:val="0"/>
        <w:snapToGrid w:val="0"/>
        <w:spacing w:line="286" w:lineRule="auto"/>
        <w:rPr>
          <w:sz w:val="18"/>
          <w:szCs w:val="18"/>
          <w:highlight w:val="none"/>
        </w:rPr>
      </w:pPr>
      <w:r>
        <w:rPr>
          <w:rFonts w:hint="eastAsia"/>
          <w:sz w:val="18"/>
          <w:szCs w:val="18"/>
          <w:highlight w:val="none"/>
        </w:rPr>
        <w:t>投资者在提交申购申请时，须备足申购资金。</w:t>
      </w:r>
    </w:p>
    <w:p>
      <w:pPr>
        <w:adjustRightInd w:val="0"/>
        <w:snapToGrid w:val="0"/>
        <w:spacing w:line="286" w:lineRule="auto"/>
        <w:rPr>
          <w:sz w:val="18"/>
          <w:szCs w:val="18"/>
          <w:highlight w:val="none"/>
        </w:rPr>
      </w:pPr>
      <w:r>
        <w:rPr>
          <w:rFonts w:hint="eastAsia"/>
          <w:sz w:val="18"/>
          <w:szCs w:val="18"/>
          <w:highlight w:val="none"/>
        </w:rPr>
        <w:t>投资者提交赎回申请时，必须针对之前持有的可用份额申请</w:t>
      </w:r>
      <w:r>
        <w:rPr>
          <w:sz w:val="18"/>
          <w:szCs w:val="18"/>
          <w:highlight w:val="none"/>
        </w:rPr>
        <w:t>赎回，且必须有足够的理财计划份额余额。</w:t>
      </w:r>
    </w:p>
    <w:p>
      <w:pPr>
        <w:adjustRightInd w:val="0"/>
        <w:snapToGrid w:val="0"/>
        <w:spacing w:line="286" w:lineRule="auto"/>
        <w:rPr>
          <w:sz w:val="18"/>
          <w:szCs w:val="18"/>
          <w:highlight w:val="none"/>
        </w:rPr>
      </w:pPr>
      <w:r>
        <w:rPr>
          <w:rFonts w:hint="eastAsia"/>
          <w:sz w:val="18"/>
          <w:szCs w:val="18"/>
          <w:highlight w:val="none"/>
        </w:rPr>
        <w:t>（2）申购、赎回的支付</w:t>
      </w:r>
    </w:p>
    <w:p>
      <w:pPr>
        <w:adjustRightInd w:val="0"/>
        <w:snapToGrid w:val="0"/>
        <w:spacing w:line="286" w:lineRule="auto"/>
        <w:rPr>
          <w:sz w:val="18"/>
          <w:szCs w:val="18"/>
          <w:highlight w:val="none"/>
        </w:rPr>
      </w:pPr>
      <w:r>
        <w:rPr>
          <w:rFonts w:hint="eastAsia"/>
          <w:sz w:val="18"/>
          <w:szCs w:val="18"/>
          <w:highlight w:val="none"/>
        </w:rPr>
        <w:t>温州</w:t>
      </w:r>
      <w:r>
        <w:rPr>
          <w:sz w:val="18"/>
          <w:szCs w:val="18"/>
          <w:highlight w:val="none"/>
        </w:rPr>
        <w:t>银行在申购</w:t>
      </w:r>
      <w:r>
        <w:rPr>
          <w:rFonts w:hint="eastAsia"/>
          <w:sz w:val="18"/>
          <w:szCs w:val="18"/>
          <w:highlight w:val="none"/>
        </w:rPr>
        <w:t>、</w:t>
      </w:r>
      <w:r>
        <w:rPr>
          <w:sz w:val="18"/>
          <w:szCs w:val="18"/>
          <w:highlight w:val="none"/>
        </w:rPr>
        <w:t>赎回</w:t>
      </w:r>
      <w:r>
        <w:rPr>
          <w:rFonts w:hint="eastAsia"/>
          <w:sz w:val="18"/>
          <w:szCs w:val="18"/>
          <w:highlight w:val="none"/>
        </w:rPr>
        <w:t>确认</w:t>
      </w:r>
      <w:r>
        <w:rPr>
          <w:sz w:val="18"/>
          <w:szCs w:val="18"/>
          <w:highlight w:val="none"/>
        </w:rPr>
        <w:t>日</w:t>
      </w:r>
      <w:r>
        <w:rPr>
          <w:rFonts w:hint="eastAsia"/>
          <w:sz w:val="18"/>
          <w:szCs w:val="18"/>
          <w:highlight w:val="none"/>
        </w:rPr>
        <w:t>进行</w:t>
      </w:r>
      <w:r>
        <w:rPr>
          <w:sz w:val="18"/>
          <w:szCs w:val="18"/>
          <w:highlight w:val="none"/>
        </w:rPr>
        <w:t>投资者</w:t>
      </w:r>
      <w:r>
        <w:rPr>
          <w:rFonts w:hint="eastAsia"/>
          <w:sz w:val="18"/>
          <w:szCs w:val="18"/>
          <w:highlight w:val="none"/>
        </w:rPr>
        <w:t>确认</w:t>
      </w:r>
      <w:r>
        <w:rPr>
          <w:sz w:val="18"/>
          <w:szCs w:val="18"/>
          <w:highlight w:val="none"/>
        </w:rPr>
        <w:t>份额</w:t>
      </w:r>
      <w:r>
        <w:rPr>
          <w:rFonts w:hint="eastAsia"/>
          <w:sz w:val="18"/>
          <w:szCs w:val="18"/>
          <w:highlight w:val="none"/>
        </w:rPr>
        <w:t>并扣减投资者账户资金，扣划款项成功后投资者申购成功</w:t>
      </w:r>
      <w:r>
        <w:rPr>
          <w:sz w:val="18"/>
          <w:szCs w:val="18"/>
          <w:highlight w:val="none"/>
        </w:rPr>
        <w:t>。投资者申购成功后，可在此后</w:t>
      </w:r>
      <w:r>
        <w:rPr>
          <w:rFonts w:hint="eastAsia"/>
          <w:sz w:val="18"/>
          <w:szCs w:val="18"/>
          <w:highlight w:val="none"/>
        </w:rPr>
        <w:t>的开放</w:t>
      </w:r>
      <w:r>
        <w:rPr>
          <w:sz w:val="18"/>
          <w:szCs w:val="18"/>
          <w:highlight w:val="none"/>
        </w:rPr>
        <w:t>赎回期</w:t>
      </w:r>
      <w:r>
        <w:rPr>
          <w:rFonts w:hint="eastAsia"/>
          <w:sz w:val="18"/>
          <w:szCs w:val="18"/>
          <w:highlight w:val="none"/>
        </w:rPr>
        <w:t>内赎回</w:t>
      </w:r>
      <w:r>
        <w:rPr>
          <w:sz w:val="18"/>
          <w:szCs w:val="18"/>
          <w:highlight w:val="none"/>
        </w:rPr>
        <w:t>部分或全部申购份额。</w:t>
      </w:r>
      <w:r>
        <w:rPr>
          <w:rFonts w:hint="eastAsia"/>
          <w:sz w:val="18"/>
          <w:szCs w:val="18"/>
          <w:highlight w:val="none"/>
        </w:rPr>
        <w:t>　</w:t>
      </w:r>
    </w:p>
    <w:p>
      <w:pPr>
        <w:adjustRightInd w:val="0"/>
        <w:snapToGrid w:val="0"/>
        <w:spacing w:line="286" w:lineRule="auto"/>
        <w:rPr>
          <w:sz w:val="18"/>
          <w:szCs w:val="18"/>
          <w:highlight w:val="none"/>
        </w:rPr>
      </w:pPr>
      <w:r>
        <w:rPr>
          <w:rFonts w:hint="eastAsia"/>
          <w:sz w:val="18"/>
          <w:szCs w:val="18"/>
          <w:highlight w:val="none"/>
        </w:rPr>
        <w:t>确认投资者赎回成功后，温州银行将为投资者扣减份额，并将投资者应得的赎回资金（如有，下同）于赎回确认日后</w:t>
      </w:r>
      <w:r>
        <w:rPr>
          <w:sz w:val="18"/>
          <w:szCs w:val="18"/>
          <w:highlight w:val="none"/>
        </w:rPr>
        <w:t>3</w:t>
      </w:r>
      <w:r>
        <w:rPr>
          <w:rFonts w:hint="eastAsia"/>
          <w:sz w:val="18"/>
          <w:szCs w:val="18"/>
          <w:highlight w:val="none"/>
        </w:rPr>
        <w:t>个工作日内划转至投资者账户。</w:t>
      </w:r>
    </w:p>
    <w:p>
      <w:pPr>
        <w:adjustRightInd w:val="0"/>
        <w:snapToGrid w:val="0"/>
        <w:spacing w:line="286" w:lineRule="auto"/>
        <w:rPr>
          <w:sz w:val="18"/>
          <w:szCs w:val="18"/>
          <w:highlight w:val="none"/>
        </w:rPr>
      </w:pPr>
      <w:r>
        <w:rPr>
          <w:rFonts w:hint="eastAsia"/>
          <w:sz w:val="18"/>
          <w:szCs w:val="18"/>
          <w:highlight w:val="none"/>
        </w:rPr>
        <w:t>5</w:t>
      </w:r>
      <w:r>
        <w:rPr>
          <w:rFonts w:hint="eastAsia"/>
          <w:sz w:val="18"/>
          <w:szCs w:val="18"/>
          <w:highlight w:val="none"/>
          <w:lang w:eastAsia="zh-CN"/>
        </w:rPr>
        <w:t>、</w:t>
      </w:r>
      <w:r>
        <w:rPr>
          <w:rFonts w:hint="eastAsia"/>
          <w:sz w:val="18"/>
          <w:szCs w:val="18"/>
          <w:highlight w:val="none"/>
        </w:rPr>
        <w:t>申购</w:t>
      </w:r>
      <w:r>
        <w:rPr>
          <w:sz w:val="18"/>
          <w:szCs w:val="18"/>
          <w:highlight w:val="none"/>
        </w:rPr>
        <w:t>份额和赎回金额的计算</w:t>
      </w:r>
    </w:p>
    <w:p>
      <w:pPr>
        <w:adjustRightInd w:val="0"/>
        <w:snapToGrid w:val="0"/>
        <w:spacing w:line="286" w:lineRule="auto"/>
        <w:rPr>
          <w:sz w:val="18"/>
          <w:szCs w:val="18"/>
          <w:highlight w:val="none"/>
        </w:rPr>
      </w:pPr>
      <w:r>
        <w:rPr>
          <w:rFonts w:hint="eastAsia"/>
          <w:sz w:val="18"/>
          <w:szCs w:val="18"/>
          <w:highlight w:val="none"/>
        </w:rPr>
        <w:t>（1）申购份额的计算</w:t>
      </w:r>
    </w:p>
    <w:p>
      <w:pPr>
        <w:adjustRightInd w:val="0"/>
        <w:snapToGrid w:val="0"/>
        <w:spacing w:line="286" w:lineRule="auto"/>
        <w:rPr>
          <w:sz w:val="18"/>
          <w:szCs w:val="18"/>
          <w:highlight w:val="none"/>
        </w:rPr>
      </w:pPr>
      <w:r>
        <w:rPr>
          <w:rFonts w:hint="eastAsia"/>
          <w:sz w:val="18"/>
          <w:szCs w:val="18"/>
          <w:highlight w:val="none"/>
        </w:rPr>
        <w:t>本理财计划申购份额的具体计算方法如下：</w:t>
      </w:r>
    </w:p>
    <w:p>
      <w:pPr>
        <w:adjustRightInd w:val="0"/>
        <w:snapToGrid w:val="0"/>
        <w:spacing w:line="286" w:lineRule="auto"/>
        <w:rPr>
          <w:sz w:val="18"/>
          <w:szCs w:val="18"/>
          <w:highlight w:val="none"/>
        </w:rPr>
      </w:pPr>
      <w:r>
        <w:rPr>
          <w:rFonts w:hint="eastAsia"/>
          <w:sz w:val="18"/>
          <w:szCs w:val="18"/>
          <w:highlight w:val="none"/>
        </w:rPr>
        <w:t>申购份额＝申购金额÷申购确认日前一自然日理财计划份额净值</w:t>
      </w:r>
    </w:p>
    <w:p>
      <w:pPr>
        <w:adjustRightInd w:val="0"/>
        <w:snapToGrid w:val="0"/>
        <w:spacing w:line="286" w:lineRule="auto"/>
        <w:rPr>
          <w:sz w:val="18"/>
          <w:szCs w:val="18"/>
          <w:highlight w:val="none"/>
        </w:rPr>
      </w:pPr>
      <w:r>
        <w:rPr>
          <w:rFonts w:hint="eastAsia"/>
          <w:sz w:val="18"/>
          <w:szCs w:val="18"/>
          <w:highlight w:val="none"/>
        </w:rPr>
        <w:t>申购费：本理财计划不收取申购费。</w:t>
      </w:r>
    </w:p>
    <w:p>
      <w:pPr>
        <w:adjustRightInd w:val="0"/>
        <w:snapToGrid w:val="0"/>
        <w:spacing w:line="286" w:lineRule="auto"/>
        <w:rPr>
          <w:sz w:val="18"/>
          <w:szCs w:val="18"/>
          <w:highlight w:val="none"/>
        </w:rPr>
      </w:pPr>
      <w:r>
        <w:rPr>
          <w:rFonts w:hint="eastAsia"/>
          <w:sz w:val="18"/>
          <w:szCs w:val="18"/>
          <w:highlight w:val="none"/>
        </w:rPr>
        <w:t>申购份额保留至小数点后2位（保留2位小数，2位小数点后四舍五入）。</w:t>
      </w:r>
    </w:p>
    <w:p>
      <w:pPr>
        <w:adjustRightInd w:val="0"/>
        <w:snapToGrid w:val="0"/>
        <w:spacing w:line="286" w:lineRule="auto"/>
        <w:rPr>
          <w:sz w:val="18"/>
          <w:szCs w:val="18"/>
          <w:highlight w:val="none"/>
        </w:rPr>
      </w:pPr>
      <w:r>
        <w:rPr>
          <w:rFonts w:hint="eastAsia"/>
          <w:sz w:val="18"/>
          <w:szCs w:val="18"/>
          <w:highlight w:val="none"/>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highlight w:val="none"/>
        </w:rPr>
      </w:pPr>
      <w:r>
        <w:rPr>
          <w:rFonts w:hint="eastAsia"/>
          <w:sz w:val="18"/>
          <w:szCs w:val="18"/>
          <w:highlight w:val="none"/>
        </w:rPr>
        <w:t>申购份</w:t>
      </w:r>
      <w:r>
        <w:rPr>
          <w:rFonts w:hint="eastAsia"/>
          <w:sz w:val="18"/>
          <w:szCs w:val="18"/>
          <w:highlight w:val="none"/>
          <w:lang w:val="en-US" w:eastAsia="zh-CN"/>
        </w:rPr>
        <w:t>额</w:t>
      </w:r>
      <w:r>
        <w:rPr>
          <w:rFonts w:hint="eastAsia"/>
          <w:sz w:val="18"/>
          <w:szCs w:val="18"/>
          <w:highlight w:val="none"/>
        </w:rPr>
        <w:t>＝100万元人民币÷1.0250＝975609.76份</w:t>
      </w:r>
    </w:p>
    <w:p>
      <w:pPr>
        <w:adjustRightInd w:val="0"/>
        <w:snapToGrid w:val="0"/>
        <w:spacing w:line="286" w:lineRule="auto"/>
        <w:rPr>
          <w:sz w:val="18"/>
          <w:szCs w:val="18"/>
          <w:highlight w:val="none"/>
        </w:rPr>
      </w:pPr>
      <w:r>
        <w:rPr>
          <w:rFonts w:hint="eastAsia"/>
          <w:sz w:val="18"/>
          <w:szCs w:val="18"/>
          <w:highlight w:val="none"/>
        </w:rPr>
        <w:t>申购费＝100万元人民币×0％＝0元人民币</w:t>
      </w:r>
    </w:p>
    <w:p>
      <w:pPr>
        <w:adjustRightInd w:val="0"/>
        <w:snapToGrid w:val="0"/>
        <w:spacing w:line="286" w:lineRule="auto"/>
        <w:rPr>
          <w:sz w:val="18"/>
          <w:szCs w:val="18"/>
          <w:highlight w:val="none"/>
        </w:rPr>
      </w:pPr>
      <w:r>
        <w:rPr>
          <w:rFonts w:hint="eastAsia"/>
          <w:sz w:val="18"/>
          <w:szCs w:val="18"/>
          <w:highlight w:val="none"/>
        </w:rPr>
        <w:t>（2</w:t>
      </w:r>
      <w:r>
        <w:rPr>
          <w:sz w:val="18"/>
          <w:szCs w:val="18"/>
          <w:highlight w:val="none"/>
        </w:rPr>
        <w:t>）</w:t>
      </w:r>
      <w:r>
        <w:rPr>
          <w:rFonts w:hint="eastAsia"/>
          <w:sz w:val="18"/>
          <w:szCs w:val="18"/>
          <w:highlight w:val="none"/>
        </w:rPr>
        <w:t>理财计划赎回金额的计算</w:t>
      </w:r>
    </w:p>
    <w:p>
      <w:pPr>
        <w:adjustRightInd w:val="0"/>
        <w:snapToGrid w:val="0"/>
        <w:spacing w:line="286" w:lineRule="auto"/>
        <w:rPr>
          <w:sz w:val="18"/>
          <w:szCs w:val="18"/>
          <w:highlight w:val="none"/>
        </w:rPr>
      </w:pPr>
      <w:r>
        <w:rPr>
          <w:rFonts w:hint="eastAsia"/>
          <w:sz w:val="18"/>
          <w:szCs w:val="18"/>
          <w:highlight w:val="none"/>
        </w:rPr>
        <w:t>理财计划采用“份额赎回”方式，赎回价格以赎回确认日前一自然日的理财计划份额净值为基准进行计算</w:t>
      </w:r>
      <w:r>
        <w:rPr>
          <w:rFonts w:hint="eastAsia"/>
          <w:sz w:val="18"/>
          <w:szCs w:val="18"/>
          <w:highlight w:val="none"/>
          <w:lang w:eastAsia="zh-CN"/>
        </w:rPr>
        <w:t>，</w:t>
      </w:r>
      <w:r>
        <w:rPr>
          <w:rFonts w:hint="eastAsia"/>
          <w:sz w:val="18"/>
          <w:szCs w:val="18"/>
          <w:highlight w:val="none"/>
        </w:rPr>
        <w:t>计算公式如下：</w:t>
      </w:r>
    </w:p>
    <w:p>
      <w:pPr>
        <w:adjustRightInd w:val="0"/>
        <w:snapToGrid w:val="0"/>
        <w:spacing w:line="286" w:lineRule="auto"/>
        <w:rPr>
          <w:sz w:val="18"/>
          <w:szCs w:val="18"/>
          <w:highlight w:val="none"/>
        </w:rPr>
      </w:pPr>
      <w:r>
        <w:rPr>
          <w:rFonts w:hint="eastAsia"/>
          <w:sz w:val="18"/>
          <w:szCs w:val="18"/>
          <w:highlight w:val="none"/>
        </w:rPr>
        <w:t>赎回金额＝总赎回份额×赎回确认日前一自然日理财计划份额净值</w:t>
      </w:r>
    </w:p>
    <w:p>
      <w:pPr>
        <w:adjustRightInd w:val="0"/>
        <w:snapToGrid w:val="0"/>
        <w:spacing w:line="286" w:lineRule="auto"/>
        <w:rPr>
          <w:sz w:val="18"/>
          <w:szCs w:val="18"/>
          <w:highlight w:val="none"/>
        </w:rPr>
      </w:pPr>
      <w:r>
        <w:rPr>
          <w:rFonts w:hint="eastAsia"/>
          <w:sz w:val="18"/>
          <w:szCs w:val="18"/>
          <w:highlight w:val="none"/>
        </w:rPr>
        <w:t>（赎回金额保留2位小数，</w:t>
      </w:r>
      <w:r>
        <w:rPr>
          <w:sz w:val="18"/>
          <w:szCs w:val="18"/>
          <w:highlight w:val="none"/>
        </w:rPr>
        <w:t>2位小数点后</w:t>
      </w:r>
      <w:r>
        <w:rPr>
          <w:rFonts w:hint="eastAsia"/>
          <w:sz w:val="18"/>
          <w:szCs w:val="18"/>
          <w:highlight w:val="none"/>
        </w:rPr>
        <w:t>四舍五入</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赎回费＝赎回金额×赎回费率，本计划赎回费率为0</w:t>
      </w:r>
      <w:r>
        <w:rPr>
          <w:rFonts w:hint="eastAsia"/>
          <w:sz w:val="18"/>
          <w:szCs w:val="18"/>
          <w:highlight w:val="none"/>
          <w:lang w:val="en-US" w:eastAsia="zh-CN"/>
        </w:rPr>
        <w:t>%</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投资者应得赎回资金＝赎回金额－赎回费</w:t>
      </w:r>
    </w:p>
    <w:p>
      <w:pPr>
        <w:adjustRightInd w:val="0"/>
        <w:snapToGrid w:val="0"/>
        <w:spacing w:line="286" w:lineRule="auto"/>
        <w:rPr>
          <w:sz w:val="18"/>
          <w:szCs w:val="18"/>
          <w:highlight w:val="none"/>
        </w:rPr>
      </w:pPr>
      <w:r>
        <w:rPr>
          <w:rFonts w:hint="eastAsia"/>
          <w:sz w:val="18"/>
          <w:szCs w:val="18"/>
          <w:highlight w:val="none"/>
        </w:rPr>
        <w:t>示例：假定某投资者赎回100000份理财计划份额，理财计划份额净值为1.0530元人民币时赎回。</w:t>
      </w:r>
    </w:p>
    <w:p>
      <w:pPr>
        <w:adjustRightInd w:val="0"/>
        <w:snapToGrid w:val="0"/>
        <w:spacing w:line="286" w:lineRule="auto"/>
        <w:rPr>
          <w:sz w:val="18"/>
          <w:szCs w:val="18"/>
          <w:highlight w:val="none"/>
        </w:rPr>
      </w:pPr>
      <w:r>
        <w:rPr>
          <w:rFonts w:hint="eastAsia"/>
          <w:sz w:val="18"/>
          <w:szCs w:val="18"/>
          <w:highlight w:val="none"/>
        </w:rPr>
        <w:t>赎回金额＝100000×1.0530＝105300元人民币</w:t>
      </w:r>
    </w:p>
    <w:p>
      <w:pPr>
        <w:adjustRightInd w:val="0"/>
        <w:snapToGrid w:val="0"/>
        <w:spacing w:line="286" w:lineRule="auto"/>
        <w:rPr>
          <w:sz w:val="18"/>
          <w:szCs w:val="18"/>
          <w:highlight w:val="none"/>
        </w:rPr>
      </w:pPr>
      <w:r>
        <w:rPr>
          <w:rFonts w:hint="eastAsia"/>
          <w:sz w:val="18"/>
          <w:szCs w:val="18"/>
          <w:highlight w:val="none"/>
        </w:rPr>
        <w:t>赎回费＝105300×0％＝0元人民币</w:t>
      </w:r>
    </w:p>
    <w:p>
      <w:pPr>
        <w:adjustRightInd w:val="0"/>
        <w:snapToGrid w:val="0"/>
        <w:spacing w:line="286" w:lineRule="auto"/>
        <w:rPr>
          <w:sz w:val="18"/>
          <w:szCs w:val="18"/>
          <w:highlight w:val="none"/>
        </w:rPr>
      </w:pPr>
      <w:r>
        <w:rPr>
          <w:rFonts w:hint="eastAsia"/>
          <w:sz w:val="18"/>
          <w:szCs w:val="18"/>
          <w:highlight w:val="none"/>
        </w:rPr>
        <w:t>投资者应得赎回资金＝105300－0＝</w:t>
      </w:r>
      <w:r>
        <w:rPr>
          <w:sz w:val="18"/>
          <w:szCs w:val="18"/>
          <w:highlight w:val="none"/>
        </w:rPr>
        <w:t>10</w:t>
      </w:r>
      <w:r>
        <w:rPr>
          <w:rFonts w:hint="eastAsia"/>
          <w:sz w:val="18"/>
          <w:szCs w:val="18"/>
          <w:highlight w:val="none"/>
        </w:rPr>
        <w:t>5300元人民币</w:t>
      </w:r>
    </w:p>
    <w:p>
      <w:pPr>
        <w:adjustRightInd w:val="0"/>
        <w:snapToGrid w:val="0"/>
        <w:spacing w:line="286" w:lineRule="auto"/>
        <w:rPr>
          <w:sz w:val="18"/>
          <w:szCs w:val="18"/>
          <w:highlight w:val="none"/>
        </w:rPr>
      </w:pPr>
      <w:r>
        <w:rPr>
          <w:rFonts w:hint="eastAsia"/>
          <w:sz w:val="18"/>
          <w:szCs w:val="18"/>
          <w:highlight w:val="none"/>
        </w:rPr>
        <w:t>6</w:t>
      </w:r>
      <w:r>
        <w:rPr>
          <w:rFonts w:hint="eastAsia"/>
          <w:sz w:val="18"/>
          <w:szCs w:val="18"/>
          <w:highlight w:val="none"/>
          <w:lang w:eastAsia="zh-CN"/>
        </w:rPr>
        <w:t>、</w:t>
      </w:r>
      <w:r>
        <w:rPr>
          <w:rFonts w:hint="eastAsia"/>
          <w:sz w:val="18"/>
          <w:szCs w:val="18"/>
          <w:highlight w:val="none"/>
        </w:rPr>
        <w:t>拒绝或暂停接受申购或赎回申请、延缓支付赎回款项的情形及处理方式</w:t>
      </w:r>
    </w:p>
    <w:p>
      <w:pPr>
        <w:adjustRightInd w:val="0"/>
        <w:snapToGrid w:val="0"/>
        <w:spacing w:line="286" w:lineRule="auto"/>
        <w:rPr>
          <w:sz w:val="18"/>
          <w:szCs w:val="18"/>
          <w:highlight w:val="none"/>
        </w:rPr>
      </w:pPr>
      <w:r>
        <w:rPr>
          <w:rFonts w:hint="eastAsia"/>
          <w:sz w:val="18"/>
          <w:szCs w:val="18"/>
          <w:highlight w:val="none"/>
        </w:rPr>
        <w:t>（1）发生以下情形，管理人可以决定是否拒绝或暂停接受全部或部分投资者的申购申请：</w:t>
      </w:r>
    </w:p>
    <w:p>
      <w:pPr>
        <w:adjustRightInd w:val="0"/>
        <w:snapToGrid w:val="0"/>
        <w:spacing w:line="286" w:lineRule="auto"/>
        <w:rPr>
          <w:sz w:val="18"/>
          <w:szCs w:val="18"/>
          <w:highlight w:val="none"/>
        </w:rPr>
      </w:pPr>
      <w:r>
        <w:rPr>
          <w:rFonts w:hint="eastAsia"/>
          <w:sz w:val="18"/>
          <w:szCs w:val="18"/>
          <w:highlight w:val="none"/>
        </w:rPr>
        <w:t>1）投资者申购超过产品说明书约定的发行规模上限、单笔认/申购上限、单一客户持有上限、单日净申购比例上限等。</w:t>
      </w:r>
    </w:p>
    <w:p>
      <w:pPr>
        <w:adjustRightInd w:val="0"/>
        <w:snapToGrid w:val="0"/>
        <w:spacing w:line="286" w:lineRule="auto"/>
        <w:rPr>
          <w:sz w:val="18"/>
          <w:szCs w:val="18"/>
          <w:highlight w:val="none"/>
        </w:rPr>
      </w:pPr>
      <w:r>
        <w:rPr>
          <w:rFonts w:hint="eastAsia"/>
          <w:sz w:val="18"/>
          <w:szCs w:val="18"/>
          <w:highlight w:val="none"/>
        </w:rPr>
        <w:t>2）理财计划资产规模过大，继续接受申购可能对理财计划业绩产生负面影响，从而损害理财产品存量投资者利益的情形时。</w:t>
      </w:r>
    </w:p>
    <w:p>
      <w:pPr>
        <w:adjustRightInd w:val="0"/>
        <w:snapToGrid w:val="0"/>
        <w:spacing w:line="286" w:lineRule="auto"/>
        <w:rPr>
          <w:sz w:val="18"/>
          <w:szCs w:val="18"/>
          <w:highlight w:val="none"/>
        </w:rPr>
      </w:pPr>
      <w:r>
        <w:rPr>
          <w:rFonts w:hint="eastAsia"/>
          <w:sz w:val="18"/>
          <w:szCs w:val="18"/>
          <w:highlight w:val="none"/>
        </w:rPr>
        <w:t>3）当接受认购申请可能会有损于理财产品存量投资者利益时。</w:t>
      </w:r>
    </w:p>
    <w:p>
      <w:pPr>
        <w:adjustRightInd w:val="0"/>
        <w:snapToGrid w:val="0"/>
        <w:spacing w:line="286" w:lineRule="auto"/>
        <w:rPr>
          <w:sz w:val="18"/>
          <w:szCs w:val="18"/>
          <w:highlight w:val="none"/>
        </w:rPr>
      </w:pPr>
      <w:r>
        <w:rPr>
          <w:rFonts w:hint="eastAsia"/>
          <w:sz w:val="18"/>
          <w:szCs w:val="18"/>
          <w:highlight w:val="none"/>
        </w:rPr>
        <w:t>4）当管理人接受某笔或者某些申购申请有可能导致单一投资者持有理财计划份额的比例达到或超过50%的情形。</w:t>
      </w:r>
    </w:p>
    <w:p>
      <w:pPr>
        <w:adjustRightInd w:val="0"/>
        <w:snapToGrid w:val="0"/>
        <w:spacing w:line="286" w:lineRule="auto"/>
        <w:rPr>
          <w:sz w:val="18"/>
          <w:szCs w:val="18"/>
          <w:highlight w:val="none"/>
        </w:rPr>
      </w:pPr>
      <w:r>
        <w:rPr>
          <w:rFonts w:hint="eastAsia"/>
          <w:sz w:val="18"/>
          <w:szCs w:val="18"/>
          <w:highlight w:val="none"/>
        </w:rPr>
        <w:t>5）发生产品说明书约定的暂停估值的情形时。</w:t>
      </w:r>
    </w:p>
    <w:p>
      <w:pPr>
        <w:adjustRightInd w:val="0"/>
        <w:snapToGrid w:val="0"/>
        <w:spacing w:line="286" w:lineRule="auto"/>
        <w:rPr>
          <w:sz w:val="18"/>
          <w:szCs w:val="18"/>
          <w:highlight w:val="none"/>
        </w:rPr>
      </w:pPr>
      <w:r>
        <w:rPr>
          <w:rFonts w:hint="eastAsia"/>
          <w:sz w:val="18"/>
          <w:szCs w:val="18"/>
          <w:highlight w:val="none"/>
        </w:rPr>
        <w:t>6）法律法规规定或监管机构认定的其他情形。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（2）发生下列情形时，管理人可暂停接受投资者的赎回申请或延缓支付赎回款项：</w:t>
      </w:r>
    </w:p>
    <w:p>
      <w:pPr>
        <w:numPr>
          <w:ilvl w:val="0"/>
          <w:numId w:val="3"/>
        </w:numPr>
        <w:adjustRightInd w:val="0"/>
        <w:snapToGrid w:val="0"/>
        <w:spacing w:line="286" w:lineRule="auto"/>
        <w:rPr>
          <w:sz w:val="18"/>
          <w:szCs w:val="18"/>
          <w:highlight w:val="none"/>
        </w:rPr>
      </w:pPr>
      <w:r>
        <w:rPr>
          <w:rFonts w:hint="eastAsia"/>
          <w:sz w:val="18"/>
          <w:szCs w:val="18"/>
          <w:highlight w:val="none"/>
        </w:rPr>
        <w:t>发生巨额赎回或连续巨额赎回的情形时。</w:t>
      </w:r>
    </w:p>
    <w:p>
      <w:pPr>
        <w:numPr>
          <w:ilvl w:val="0"/>
          <w:numId w:val="3"/>
        </w:numPr>
        <w:adjustRightInd w:val="0"/>
        <w:snapToGrid w:val="0"/>
        <w:spacing w:line="286" w:lineRule="auto"/>
        <w:rPr>
          <w:sz w:val="18"/>
          <w:szCs w:val="18"/>
          <w:highlight w:val="none"/>
        </w:rPr>
      </w:pPr>
      <w:r>
        <w:rPr>
          <w:sz w:val="18"/>
          <w:szCs w:val="18"/>
          <w:highlight w:val="none"/>
        </w:rPr>
        <w:t>当</w:t>
      </w:r>
      <w:r>
        <w:rPr>
          <w:rFonts w:hint="eastAsia"/>
          <w:sz w:val="18"/>
          <w:szCs w:val="18"/>
          <w:highlight w:val="none"/>
        </w:rPr>
        <w:t>接受赎回</w:t>
      </w:r>
      <w:r>
        <w:rPr>
          <w:sz w:val="18"/>
          <w:szCs w:val="18"/>
          <w:highlight w:val="none"/>
        </w:rPr>
        <w:t>申请可能会有损于理财产品存量投资者利益时。</w:t>
      </w:r>
    </w:p>
    <w:p>
      <w:pPr>
        <w:numPr>
          <w:ilvl w:val="0"/>
          <w:numId w:val="3"/>
        </w:numPr>
        <w:adjustRightInd w:val="0"/>
        <w:snapToGrid w:val="0"/>
        <w:spacing w:line="286" w:lineRule="auto"/>
        <w:rPr>
          <w:sz w:val="18"/>
          <w:szCs w:val="18"/>
          <w:highlight w:val="none"/>
        </w:rPr>
      </w:pPr>
      <w:r>
        <w:rPr>
          <w:rFonts w:hint="eastAsia"/>
          <w:sz w:val="18"/>
          <w:szCs w:val="18"/>
          <w:highlight w:val="none"/>
        </w:rPr>
        <w:t>发生赎回申请超过赎回上限的情形时。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发生产品说明书约定的暂停估值的情形时。</w:t>
      </w:r>
    </w:p>
    <w:p>
      <w:pPr>
        <w:numPr>
          <w:ilvl w:val="0"/>
          <w:numId w:val="3"/>
        </w:numPr>
        <w:adjustRightInd w:val="0"/>
        <w:snapToGrid w:val="0"/>
        <w:spacing w:line="286" w:lineRule="auto"/>
        <w:rPr>
          <w:sz w:val="18"/>
          <w:szCs w:val="18"/>
          <w:highlight w:val="none"/>
        </w:rPr>
      </w:pPr>
      <w:r>
        <w:rPr>
          <w:rFonts w:hint="eastAsia"/>
          <w:sz w:val="18"/>
          <w:szCs w:val="18"/>
          <w:highlight w:val="none"/>
        </w:rPr>
        <w:t>法律法规规定或监管机构认定的其他情形。</w:t>
      </w:r>
    </w:p>
    <w:p>
      <w:pPr>
        <w:adjustRightInd w:val="0"/>
        <w:snapToGrid w:val="0"/>
        <w:spacing w:line="286" w:lineRule="auto"/>
        <w:rPr>
          <w:sz w:val="18"/>
          <w:szCs w:val="18"/>
          <w:highlight w:val="none"/>
        </w:rPr>
      </w:pPr>
      <w:r>
        <w:rPr>
          <w:rFonts w:hint="eastAsia"/>
          <w:sz w:val="18"/>
          <w:szCs w:val="18"/>
          <w:highlight w:val="none"/>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highlight w:val="none"/>
        </w:rPr>
      </w:pPr>
      <w:r>
        <w:rPr>
          <w:rFonts w:hint="eastAsia"/>
          <w:sz w:val="18"/>
          <w:szCs w:val="18"/>
          <w:highlight w:val="none"/>
        </w:rPr>
        <w:t>【终止（包括到期终止、提前终止、延期终止）】</w:t>
      </w:r>
    </w:p>
    <w:p>
      <w:pPr>
        <w:adjustRightInd w:val="0"/>
        <w:snapToGrid w:val="0"/>
        <w:spacing w:line="286" w:lineRule="auto"/>
        <w:rPr>
          <w:sz w:val="18"/>
          <w:szCs w:val="18"/>
          <w:highlight w:val="none"/>
        </w:rPr>
      </w:pPr>
      <w:r>
        <w:rPr>
          <w:rFonts w:hint="eastAsia"/>
          <w:color w:val="000000"/>
          <w:sz w:val="18"/>
          <w:szCs w:val="18"/>
          <w:highlight w:val="none"/>
        </w:rPr>
        <w:t>本产品预计到期终止日为2030年10月9日</w:t>
      </w:r>
      <w:r>
        <w:rPr>
          <w:rFonts w:hint="eastAsia"/>
          <w:color w:val="000000"/>
          <w:sz w:val="18"/>
          <w:highlight w:val="none"/>
        </w:rPr>
        <w:t>，</w:t>
      </w:r>
      <w:r>
        <w:rPr>
          <w:rFonts w:hint="eastAsia"/>
          <w:sz w:val="18"/>
          <w:szCs w:val="18"/>
          <w:highlight w:val="none"/>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highlight w:val="none"/>
        </w:rPr>
      </w:pPr>
      <w:r>
        <w:rPr>
          <w:rFonts w:hint="eastAsia"/>
          <w:sz w:val="18"/>
          <w:szCs w:val="18"/>
          <w:highlight w:val="none"/>
        </w:rPr>
        <w:t>【相关费用】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w:t>
      </w:r>
      <w:r>
        <w:rPr>
          <w:rFonts w:hint="eastAsia"/>
          <w:sz w:val="18"/>
          <w:szCs w:val="18"/>
          <w:highlight w:val="none"/>
          <w:lang w:eastAsia="zh-CN"/>
        </w:rPr>
        <w:t>0.6</w:t>
      </w:r>
      <w:r>
        <w:rPr>
          <w:rFonts w:hint="eastAsia"/>
          <w:sz w:val="18"/>
          <w:szCs w:val="18"/>
          <w:highlight w:val="none"/>
        </w:rPr>
        <w:t>%（最高），计算方法如下：</w:t>
      </w:r>
    </w:p>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w:t>
      </w:r>
      <w:r>
        <w:rPr>
          <w:rFonts w:hint="eastAsia"/>
          <w:sz w:val="18"/>
          <w:szCs w:val="18"/>
          <w:highlight w:val="none"/>
          <w:lang w:eastAsia="zh-CN"/>
        </w:rPr>
        <w:t>0.6</w:t>
      </w:r>
      <w:r>
        <w:rPr>
          <w:rFonts w:hint="eastAsia"/>
          <w:sz w:val="18"/>
          <w:szCs w:val="18"/>
          <w:highlight w:val="none"/>
        </w:rPr>
        <w:t>%（年化）收取固定管理费；若本理财产品扣除产品固定管理费、托管费及其他费用（如有）后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w:t>
      </w:r>
      <w:r>
        <w:rPr>
          <w:rFonts w:hint="eastAsia"/>
          <w:sz w:val="18"/>
          <w:szCs w:val="18"/>
          <w:highlight w:val="none"/>
          <w:lang w:eastAsia="zh-CN"/>
        </w:rPr>
        <w:t>0.6</w:t>
      </w:r>
      <w:r>
        <w:rPr>
          <w:rFonts w:hint="eastAsia"/>
          <w:sz w:val="18"/>
          <w:szCs w:val="18"/>
          <w:highlight w:val="none"/>
        </w:rPr>
        <w:t>%（年化）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E为本计划前一自然日资产净值，第一日托管费=第一日理财产品本金余额×托管费率÷365。</w:t>
      </w:r>
    </w:p>
    <w:p>
      <w:pPr>
        <w:adjustRightInd w:val="0"/>
        <w:snapToGrid w:val="0"/>
        <w:spacing w:line="286" w:lineRule="auto"/>
        <w:rPr>
          <w:sz w:val="18"/>
          <w:szCs w:val="18"/>
          <w:highlight w:val="none"/>
        </w:rPr>
      </w:pPr>
      <w:r>
        <w:rPr>
          <w:rFonts w:hint="eastAsia"/>
          <w:sz w:val="18"/>
          <w:szCs w:val="18"/>
          <w:highlight w:val="none"/>
        </w:rPr>
        <w:t>托管费原则上按日计提，逐日累计至每个投资运作周期到期日从理财计划财产中扣除。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理财管理人对委托资产收取的浮动管理费，按每自然日计提，计算方法如下：</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-F</w:t>
      </w:r>
      <w:r>
        <w:rPr>
          <w:rFonts w:hint="eastAsia"/>
          <w:sz w:val="18"/>
          <w:szCs w:val="18"/>
          <w:highlight w:val="none"/>
          <w:vertAlign w:val="subscript"/>
        </w:rPr>
        <w:t>（T-1）</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=MAX（F</w:t>
      </w:r>
      <w:r>
        <w:rPr>
          <w:rFonts w:hint="eastAsia"/>
          <w:sz w:val="18"/>
          <w:szCs w:val="18"/>
          <w:highlight w:val="none"/>
          <w:vertAlign w:val="subscript"/>
        </w:rPr>
        <w:t>0</w:t>
      </w:r>
      <w:r>
        <w:rPr>
          <w:rFonts w:hint="eastAsia"/>
          <w:sz w:val="18"/>
          <w:szCs w:val="18"/>
          <w:highlight w:val="none"/>
        </w:rPr>
        <w:t>+（A- A</w:t>
      </w:r>
      <w:r>
        <w:rPr>
          <w:rFonts w:hint="eastAsia"/>
          <w:sz w:val="18"/>
          <w:szCs w:val="18"/>
          <w:highlight w:val="none"/>
          <w:vertAlign w:val="subscript"/>
        </w:rPr>
        <w:t>0</w:t>
      </w:r>
      <w:r>
        <w:rPr>
          <w:sz w:val="18"/>
          <w:szCs w:val="18"/>
          <w:highlight w:val="none"/>
        </w:rPr>
        <w:t>×</w:t>
      </w:r>
      <w:r>
        <w:rPr>
          <w:rFonts w:hint="eastAsia"/>
          <w:sz w:val="18"/>
          <w:szCs w:val="18"/>
          <w:highlight w:val="none"/>
        </w:rPr>
        <w:t>（1+R</w:t>
      </w:r>
      <w:r>
        <w:rPr>
          <w:rFonts w:hint="eastAsia"/>
          <w:sz w:val="18"/>
          <w:szCs w:val="18"/>
          <w:highlight w:val="none"/>
          <w:vertAlign w:val="subscript"/>
        </w:rPr>
        <w:t xml:space="preserve"> i</w:t>
      </w:r>
      <w:r>
        <w:rPr>
          <w:sz w:val="18"/>
          <w:szCs w:val="18"/>
          <w:highlight w:val="none"/>
        </w:rPr>
        <w:t>×</w:t>
      </w:r>
      <w:r>
        <w:rPr>
          <w:rFonts w:hint="eastAsia"/>
          <w:sz w:val="18"/>
          <w:szCs w:val="18"/>
          <w:highlight w:val="none"/>
        </w:rPr>
        <w:t>T</w:t>
      </w:r>
      <w:r>
        <w:rPr>
          <w:sz w:val="18"/>
          <w:szCs w:val="18"/>
          <w:highlight w:val="none"/>
        </w:rPr>
        <w:t>÷365</w:t>
      </w:r>
      <w:r>
        <w:rPr>
          <w:rFonts w:hint="eastAsia"/>
          <w:sz w:val="18"/>
          <w:szCs w:val="18"/>
          <w:highlight w:val="none"/>
        </w:rPr>
        <w:t>））×80%，0）</w:t>
      </w:r>
    </w:p>
    <w:p>
      <w:pPr>
        <w:adjustRightInd w:val="0"/>
        <w:snapToGrid w:val="0"/>
        <w:spacing w:line="286" w:lineRule="auto"/>
        <w:rPr>
          <w:sz w:val="18"/>
          <w:szCs w:val="18"/>
          <w:highlight w:val="none"/>
        </w:rPr>
      </w:pPr>
      <w:r>
        <w:rPr>
          <w:rFonts w:hint="eastAsia"/>
          <w:sz w:val="18"/>
          <w:szCs w:val="18"/>
          <w:highlight w:val="none"/>
        </w:rPr>
        <w:t>其中：</w:t>
      </w:r>
    </w:p>
    <w:p>
      <w:pPr>
        <w:adjustRightInd w:val="0"/>
        <w:snapToGrid w:val="0"/>
        <w:spacing w:line="286" w:lineRule="auto"/>
        <w:rPr>
          <w:sz w:val="18"/>
          <w:szCs w:val="18"/>
          <w:highlight w:val="none"/>
        </w:rPr>
      </w:pPr>
      <w:r>
        <w:rPr>
          <w:rFonts w:hint="eastAsia"/>
          <w:sz w:val="18"/>
          <w:szCs w:val="18"/>
          <w:highlight w:val="none"/>
        </w:rPr>
        <w:t>S</w:t>
      </w:r>
      <w:r>
        <w:rPr>
          <w:rFonts w:hint="eastAsia"/>
          <w:sz w:val="18"/>
          <w:szCs w:val="18"/>
          <w:highlight w:val="none"/>
          <w:vertAlign w:val="subscript"/>
        </w:rPr>
        <w:t>T</w:t>
      </w:r>
      <w:r>
        <w:rPr>
          <w:rFonts w:hint="eastAsia"/>
          <w:sz w:val="18"/>
          <w:szCs w:val="18"/>
          <w:highlight w:val="none"/>
        </w:rPr>
        <w:t>为每日应计提的浮动管理费，当计提后的浮动管理费余额小于0时，则当日不再予以计提。</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T</w:t>
      </w:r>
      <w:r>
        <w:rPr>
          <w:rFonts w:hint="eastAsia"/>
          <w:sz w:val="18"/>
          <w:szCs w:val="18"/>
          <w:highlight w:val="none"/>
        </w:rPr>
        <w:t>为当日已计提且未扣除的浮动管理费余额，F</w:t>
      </w:r>
      <w:r>
        <w:rPr>
          <w:rFonts w:hint="eastAsia"/>
          <w:sz w:val="18"/>
          <w:szCs w:val="18"/>
          <w:highlight w:val="none"/>
          <w:vertAlign w:val="subscript"/>
        </w:rPr>
        <w:t>（T-1）</w:t>
      </w:r>
      <w:r>
        <w:rPr>
          <w:rFonts w:hint="eastAsia"/>
          <w:sz w:val="18"/>
          <w:szCs w:val="18"/>
          <w:highlight w:val="none"/>
        </w:rPr>
        <w:t>为上一日已计提且未扣除的浮动管理费余额。</w:t>
      </w:r>
    </w:p>
    <w:p>
      <w:pPr>
        <w:adjustRightInd w:val="0"/>
        <w:snapToGrid w:val="0"/>
        <w:spacing w:line="286" w:lineRule="auto"/>
        <w:rPr>
          <w:sz w:val="18"/>
          <w:szCs w:val="18"/>
          <w:highlight w:val="none"/>
        </w:rPr>
      </w:pPr>
      <w:r>
        <w:rPr>
          <w:rFonts w:hint="eastAsia"/>
          <w:sz w:val="18"/>
          <w:szCs w:val="18"/>
          <w:highlight w:val="none"/>
        </w:rPr>
        <w:t>F</w:t>
      </w:r>
      <w:r>
        <w:rPr>
          <w:rFonts w:hint="eastAsia"/>
          <w:sz w:val="18"/>
          <w:szCs w:val="18"/>
          <w:highlight w:val="none"/>
          <w:vertAlign w:val="subscript"/>
        </w:rPr>
        <w:t>0</w:t>
      </w:r>
      <w:r>
        <w:rPr>
          <w:rFonts w:hint="eastAsia"/>
          <w:sz w:val="18"/>
          <w:szCs w:val="18"/>
          <w:highlight w:val="none"/>
        </w:rPr>
        <w:t>为本</w:t>
      </w:r>
      <w:r>
        <w:rPr>
          <w:sz w:val="18"/>
          <w:szCs w:val="18"/>
          <w:highlight w:val="none"/>
        </w:rPr>
        <w:t>周期起始日前</w:t>
      </w:r>
      <w:r>
        <w:rPr>
          <w:rFonts w:hint="eastAsia"/>
          <w:sz w:val="18"/>
          <w:szCs w:val="18"/>
          <w:highlight w:val="none"/>
        </w:rPr>
        <w:t>一日已计提且未扣除的浮动管理费余额。</w:t>
      </w:r>
    </w:p>
    <w:p>
      <w:pPr>
        <w:adjustRightInd w:val="0"/>
        <w:snapToGrid w:val="0"/>
        <w:spacing w:line="286" w:lineRule="auto"/>
        <w:rPr>
          <w:sz w:val="18"/>
          <w:szCs w:val="18"/>
          <w:highlight w:val="none"/>
        </w:rPr>
      </w:pPr>
      <w:r>
        <w:rPr>
          <w:sz w:val="18"/>
          <w:szCs w:val="18"/>
          <w:highlight w:val="none"/>
        </w:rPr>
        <w:t>A为当日扣除</w:t>
      </w:r>
      <w:r>
        <w:rPr>
          <w:rFonts w:hint="eastAsia"/>
          <w:sz w:val="18"/>
          <w:szCs w:val="18"/>
          <w:highlight w:val="none"/>
        </w:rPr>
        <w:t>浮动</w:t>
      </w:r>
      <w:r>
        <w:rPr>
          <w:sz w:val="18"/>
          <w:szCs w:val="18"/>
          <w:highlight w:val="none"/>
        </w:rPr>
        <w:t>管理费</w:t>
      </w:r>
      <w:r>
        <w:rPr>
          <w:rFonts w:hint="eastAsia"/>
          <w:sz w:val="18"/>
          <w:szCs w:val="18"/>
          <w:highlight w:val="none"/>
        </w:rPr>
        <w:t>前</w:t>
      </w:r>
      <w:r>
        <w:rPr>
          <w:sz w:val="18"/>
          <w:szCs w:val="18"/>
          <w:highlight w:val="none"/>
        </w:rPr>
        <w:t>以及除权分红前的产品资产净值</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A</w:t>
      </w:r>
      <w:r>
        <w:rPr>
          <w:rFonts w:hint="eastAsia"/>
          <w:sz w:val="18"/>
          <w:szCs w:val="18"/>
          <w:highlight w:val="none"/>
          <w:vertAlign w:val="subscript"/>
        </w:rPr>
        <w:t>0</w:t>
      </w:r>
      <w:r>
        <w:rPr>
          <w:sz w:val="18"/>
          <w:szCs w:val="18"/>
          <w:highlight w:val="none"/>
        </w:rPr>
        <w:t>为</w:t>
      </w:r>
      <w:r>
        <w:rPr>
          <w:rFonts w:hint="eastAsia"/>
          <w:sz w:val="18"/>
          <w:szCs w:val="18"/>
          <w:highlight w:val="none"/>
        </w:rPr>
        <w:t>【本</w:t>
      </w:r>
      <w:r>
        <w:rPr>
          <w:sz w:val="18"/>
          <w:szCs w:val="18"/>
          <w:highlight w:val="none"/>
        </w:rPr>
        <w:t>周期起始日前一日的产品资产净值÷</w:t>
      </w:r>
      <w:r>
        <w:rPr>
          <w:rFonts w:hint="eastAsia"/>
          <w:sz w:val="18"/>
          <w:szCs w:val="18"/>
          <w:highlight w:val="none"/>
        </w:rPr>
        <w:t>本</w:t>
      </w:r>
      <w:r>
        <w:rPr>
          <w:sz w:val="18"/>
          <w:szCs w:val="18"/>
          <w:highlight w:val="none"/>
        </w:rPr>
        <w:t>周期起始日前一日的</w:t>
      </w:r>
      <w:r>
        <w:rPr>
          <w:rFonts w:hint="eastAsia"/>
          <w:sz w:val="18"/>
          <w:szCs w:val="18"/>
          <w:highlight w:val="none"/>
        </w:rPr>
        <w:t>产品</w:t>
      </w:r>
      <w:r>
        <w:rPr>
          <w:sz w:val="18"/>
          <w:szCs w:val="18"/>
          <w:highlight w:val="none"/>
        </w:rPr>
        <w:t>份额×本周期</w:t>
      </w:r>
      <w:r>
        <w:rPr>
          <w:rFonts w:hint="eastAsia"/>
          <w:sz w:val="18"/>
          <w:szCs w:val="18"/>
          <w:highlight w:val="none"/>
        </w:rPr>
        <w:t>产品</w:t>
      </w:r>
      <w:r>
        <w:rPr>
          <w:sz w:val="18"/>
          <w:szCs w:val="18"/>
          <w:highlight w:val="none"/>
        </w:rPr>
        <w:t>份额（</w:t>
      </w:r>
      <w:r>
        <w:rPr>
          <w:rFonts w:hint="eastAsia"/>
          <w:sz w:val="18"/>
          <w:szCs w:val="18"/>
          <w:highlight w:val="none"/>
        </w:rPr>
        <w:t>首个投资</w:t>
      </w:r>
      <w:r>
        <w:rPr>
          <w:sz w:val="18"/>
          <w:szCs w:val="18"/>
          <w:highlight w:val="none"/>
        </w:rPr>
        <w:t>周期</w:t>
      </w:r>
      <w:r>
        <w:rPr>
          <w:rFonts w:hint="eastAsia"/>
          <w:sz w:val="18"/>
          <w:szCs w:val="18"/>
          <w:highlight w:val="none"/>
        </w:rPr>
        <w:t>该项等于</w:t>
      </w:r>
      <w:r>
        <w:rPr>
          <w:sz w:val="18"/>
          <w:szCs w:val="18"/>
          <w:highlight w:val="none"/>
        </w:rPr>
        <w:t>成立金额）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T</w:t>
      </w:r>
      <w:r>
        <w:rPr>
          <w:sz w:val="18"/>
          <w:szCs w:val="18"/>
          <w:highlight w:val="none"/>
        </w:rPr>
        <w:t>为本</w:t>
      </w:r>
      <w:r>
        <w:rPr>
          <w:rFonts w:hint="eastAsia"/>
          <w:sz w:val="18"/>
          <w:szCs w:val="18"/>
          <w:highlight w:val="none"/>
        </w:rPr>
        <w:t>投资</w:t>
      </w:r>
      <w:r>
        <w:rPr>
          <w:sz w:val="18"/>
          <w:szCs w:val="18"/>
          <w:highlight w:val="none"/>
        </w:rPr>
        <w:t>周期起始日（含）到</w:t>
      </w:r>
      <w:r>
        <w:rPr>
          <w:rFonts w:hint="eastAsia"/>
          <w:sz w:val="18"/>
          <w:szCs w:val="18"/>
          <w:highlight w:val="none"/>
        </w:rPr>
        <w:t>浮动管理费计提</w:t>
      </w:r>
      <w:r>
        <w:rPr>
          <w:sz w:val="18"/>
          <w:szCs w:val="18"/>
          <w:highlight w:val="none"/>
        </w:rPr>
        <w:t>日（含）的天数</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R</w:t>
      </w:r>
      <w:r>
        <w:rPr>
          <w:rFonts w:hint="eastAsia"/>
          <w:sz w:val="18"/>
          <w:szCs w:val="18"/>
          <w:highlight w:val="none"/>
          <w:vertAlign w:val="subscript"/>
        </w:rPr>
        <w:t>i</w:t>
      </w:r>
      <w:r>
        <w:rPr>
          <w:sz w:val="18"/>
          <w:szCs w:val="18"/>
          <w:highlight w:val="none"/>
        </w:rPr>
        <w:t>为本周期业绩比较基准</w:t>
      </w:r>
      <w:r>
        <w:rPr>
          <w:rFonts w:hint="eastAsia"/>
          <w:sz w:val="18"/>
          <w:szCs w:val="18"/>
          <w:highlight w:val="none"/>
        </w:rPr>
        <w:t>，若业绩比较基准存在区间范围的，则为业绩比较基准区间均值</w:t>
      </w:r>
      <w:r>
        <w:rPr>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highlight w:val="none"/>
        </w:rPr>
      </w:pPr>
      <w:r>
        <w:rPr>
          <w:rFonts w:hint="eastAsia"/>
          <w:sz w:val="18"/>
          <w:szCs w:val="18"/>
          <w:highlight w:val="none"/>
        </w:rPr>
        <w:t>注：计算过程不保留位数，最终浮动管理费保留2位小数。</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highlight w:val="none"/>
        </w:rPr>
      </w:pPr>
      <w:r>
        <w:rPr>
          <w:rFonts w:hint="eastAsia"/>
          <w:sz w:val="18"/>
          <w:szCs w:val="18"/>
          <w:highlight w:val="none"/>
        </w:rPr>
        <w:t>【投资者所得收益】</w:t>
      </w:r>
    </w:p>
    <w:p>
      <w:pPr>
        <w:adjustRightInd w:val="0"/>
        <w:snapToGrid w:val="0"/>
        <w:spacing w:line="286" w:lineRule="auto"/>
        <w:rPr>
          <w:sz w:val="18"/>
          <w:szCs w:val="18"/>
          <w:highlight w:val="none"/>
        </w:rPr>
      </w:pPr>
      <w:r>
        <w:rPr>
          <w:rFonts w:hint="eastAsia"/>
          <w:sz w:val="18"/>
          <w:szCs w:val="18"/>
          <w:highlight w:val="none"/>
          <w:lang w:val="en-US" w:eastAsia="zh-CN"/>
        </w:rPr>
        <w:t>理财计划运作周期到期日收益</w:t>
      </w:r>
      <w:r>
        <w:rPr>
          <w:rFonts w:hint="eastAsia"/>
          <w:sz w:val="18"/>
          <w:szCs w:val="18"/>
          <w:highlight w:val="none"/>
        </w:rPr>
        <w:t>投资者理财收益＝认购/申购份额×投资运作周期到期日理财产品总净值÷理财产品总份额—认购/申购金额。</w:t>
      </w:r>
    </w:p>
    <w:p>
      <w:pPr>
        <w:adjustRightInd w:val="0"/>
        <w:snapToGrid w:val="0"/>
        <w:spacing w:line="286" w:lineRule="auto"/>
        <w:rPr>
          <w:sz w:val="18"/>
          <w:szCs w:val="18"/>
          <w:highlight w:val="none"/>
        </w:rPr>
      </w:pPr>
      <w:r>
        <w:rPr>
          <w:rFonts w:hint="eastAsia"/>
          <w:sz w:val="18"/>
          <w:szCs w:val="18"/>
          <w:highlight w:val="none"/>
        </w:rPr>
        <w:t>注：上述公式中“投资运作周期到期日理财产品总净值”为本理财产品资产在扣除托管费、固定管理费、浮动管理费及税费、其他费用等相关费用后计算产生的理财产品总净值。</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温州银行将于运作周期到期日后3个工作日内将投资者理财收益划至投资者账户。</w:t>
      </w:r>
    </w:p>
    <w:p>
      <w:pPr>
        <w:adjustRightInd w:val="0"/>
        <w:snapToGrid w:val="0"/>
        <w:spacing w:line="286" w:lineRule="auto"/>
        <w:rPr>
          <w:sz w:val="18"/>
          <w:szCs w:val="18"/>
          <w:highlight w:val="none"/>
        </w:rPr>
      </w:pPr>
      <w:r>
        <w:rPr>
          <w:rFonts w:hint="eastAsia"/>
          <w:sz w:val="18"/>
          <w:szCs w:val="18"/>
          <w:highlight w:val="none"/>
        </w:rPr>
        <w:t>【本金及理财收益风险】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市场变化或波动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【理财计划提前</w:t>
      </w:r>
      <w:r>
        <w:rPr>
          <w:rFonts w:hint="eastAsia"/>
          <w:sz w:val="18"/>
          <w:szCs w:val="18"/>
          <w:highlight w:val="none"/>
          <w:lang w:val="en-US" w:eastAsia="zh-CN"/>
        </w:rPr>
        <w:t>/延期</w:t>
      </w:r>
      <w:r>
        <w:rPr>
          <w:rFonts w:hint="eastAsia"/>
          <w:sz w:val="18"/>
          <w:szCs w:val="18"/>
          <w:highlight w:val="none"/>
        </w:rPr>
        <w:t>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w:t>
      </w:r>
      <w:r>
        <w:rPr>
          <w:rFonts w:hint="eastAsia"/>
          <w:sz w:val="18"/>
          <w:szCs w:val="18"/>
          <w:highlight w:val="none"/>
          <w:lang w:val="en-US" w:eastAsia="zh-CN"/>
        </w:rPr>
        <w:t>/延期</w:t>
      </w:r>
      <w:r>
        <w:rPr>
          <w:rFonts w:hint="eastAsia"/>
          <w:sz w:val="18"/>
          <w:szCs w:val="18"/>
          <w:highlight w:val="none"/>
        </w:rPr>
        <w:t>终止理财计划，此时投资者的理财收益</w:t>
      </w:r>
      <w:r>
        <w:rPr>
          <w:rFonts w:hint="eastAsia"/>
          <w:sz w:val="18"/>
          <w:szCs w:val="18"/>
          <w:highlight w:val="none"/>
          <w:lang w:val="en-US" w:eastAsia="zh-CN"/>
        </w:rPr>
        <w:t>按本理财计划说明书关于终止清算的相关约定进行分配</w:t>
      </w:r>
      <w:r>
        <w:rPr>
          <w:rFonts w:hint="eastAsia"/>
          <w:sz w:val="18"/>
          <w:szCs w:val="18"/>
          <w:highlight w:val="none"/>
        </w:rPr>
        <w:t>。</w:t>
      </w:r>
    </w:p>
    <w:p>
      <w:pPr>
        <w:adjustRightInd w:val="0"/>
        <w:snapToGrid w:val="0"/>
        <w:spacing w:line="286" w:lineRule="auto"/>
        <w:rPr>
          <w:rFonts w:hint="eastAsia"/>
          <w:b/>
          <w:sz w:val="18"/>
          <w:szCs w:val="18"/>
          <w:highlight w:val="none"/>
        </w:rPr>
      </w:pPr>
      <w:r>
        <w:rPr>
          <w:rFonts w:hint="eastAsia"/>
          <w:b/>
          <w:sz w:val="18"/>
          <w:szCs w:val="18"/>
          <w:highlight w:val="none"/>
        </w:rPr>
        <w:t>理财</w:t>
      </w:r>
      <w:r>
        <w:rPr>
          <w:b/>
          <w:sz w:val="18"/>
          <w:szCs w:val="18"/>
          <w:highlight w:val="none"/>
        </w:rPr>
        <w:t>计划</w:t>
      </w:r>
      <w:r>
        <w:rPr>
          <w:rFonts w:hint="eastAsia"/>
          <w:b/>
          <w:sz w:val="18"/>
          <w:szCs w:val="18"/>
          <w:highlight w:val="none"/>
        </w:rPr>
        <w:t>收益分配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1、收益的构成</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本理财计划的收益包括：投资债券、货币工具根据等监管机构认可的相关资产或资产组合所产生的利息收入、买卖证券差价收入、银行存款利息以及已实现的其他合法收入。本理财计划可分配收益为扣除各项税费、产品相关费用后的净收益。该收益的构成不代表投资者一定可以获得收益。</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2、收益分配的原则</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（1）同一类别的每一产品份额享有同等分配权。</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eastAsia="zh-CN"/>
        </w:rPr>
        <w:t>（</w:t>
      </w:r>
      <w:r>
        <w:rPr>
          <w:rFonts w:hint="eastAsia"/>
          <w:sz w:val="18"/>
          <w:szCs w:val="18"/>
          <w:highlight w:val="none"/>
          <w:lang w:val="en-US" w:eastAsia="zh-CN"/>
        </w:rPr>
        <w:t>2</w:t>
      </w:r>
      <w:r>
        <w:rPr>
          <w:rFonts w:hint="eastAsia"/>
          <w:sz w:val="18"/>
          <w:szCs w:val="18"/>
          <w:highlight w:val="none"/>
          <w:lang w:eastAsia="zh-CN"/>
        </w:rPr>
        <w:t>）</w:t>
      </w:r>
      <w:r>
        <w:rPr>
          <w:rFonts w:hint="eastAsia"/>
          <w:sz w:val="18"/>
          <w:szCs w:val="18"/>
          <w:highlight w:val="none"/>
          <w:lang w:val="en-US" w:eastAsia="zh-CN"/>
        </w:rPr>
        <w:t>根据分配时点，理财收益分为期间分配和终止分配。</w:t>
      </w:r>
    </w:p>
    <w:p>
      <w:pPr>
        <w:adjustRightInd w:val="0"/>
        <w:snapToGrid w:val="0"/>
        <w:spacing w:line="286" w:lineRule="auto"/>
        <w:rPr>
          <w:rFonts w:hint="eastAsia"/>
          <w:b w:val="0"/>
          <w:bCs/>
          <w:sz w:val="18"/>
          <w:szCs w:val="18"/>
          <w:highlight w:val="none"/>
        </w:rPr>
      </w:pPr>
      <w:r>
        <w:rPr>
          <w:rFonts w:hint="eastAsia"/>
          <w:b w:val="0"/>
          <w:bCs/>
          <w:sz w:val="18"/>
          <w:szCs w:val="18"/>
          <w:highlight w:val="none"/>
          <w:lang w:val="en-US" w:eastAsia="zh-CN"/>
        </w:rPr>
        <w:t>1）期间分配：在理财产品运作周期内，产品管理人有权视理财产品收益情况进行主动分配。</w:t>
      </w:r>
    </w:p>
    <w:p>
      <w:pPr>
        <w:adjustRightInd w:val="0"/>
        <w:snapToGrid w:val="0"/>
        <w:spacing w:line="286" w:lineRule="auto"/>
        <w:rPr>
          <w:rFonts w:hint="eastAsia"/>
          <w:b w:val="0"/>
          <w:bCs/>
          <w:sz w:val="18"/>
          <w:szCs w:val="18"/>
          <w:highlight w:val="none"/>
          <w:lang w:val="en-US" w:eastAsia="zh-CN"/>
        </w:rPr>
      </w:pPr>
      <w:r>
        <w:rPr>
          <w:rFonts w:hint="eastAsia"/>
          <w:b w:val="0"/>
          <w:bCs/>
          <w:sz w:val="18"/>
          <w:szCs w:val="18"/>
          <w:highlight w:val="none"/>
          <w:lang w:val="en-US" w:eastAsia="zh-CN"/>
        </w:rPr>
        <w:t>2）终止分配：包括每个运作周期到期日终止分配和理财计划到期日终止分配，由产品管理人按照本理财计划产品说明书约定计算投资者收益后进行分配。</w:t>
      </w:r>
    </w:p>
    <w:p>
      <w:pPr>
        <w:adjustRightInd w:val="0"/>
        <w:snapToGrid w:val="0"/>
        <w:spacing w:line="286" w:lineRule="auto"/>
        <w:rPr>
          <w:rFonts w:hint="eastAsia"/>
          <w:sz w:val="18"/>
          <w:szCs w:val="18"/>
          <w:highlight w:val="none"/>
          <w:lang w:eastAsia="zh-CN"/>
        </w:rPr>
      </w:pPr>
      <w:r>
        <w:rPr>
          <w:rFonts w:hint="eastAsia"/>
          <w:sz w:val="18"/>
          <w:szCs w:val="18"/>
          <w:highlight w:val="none"/>
          <w:lang w:val="en-US" w:eastAsia="zh-CN"/>
        </w:rPr>
        <w:t>（3）根据分配方式，理财收益分为</w:t>
      </w:r>
      <w:r>
        <w:rPr>
          <w:rFonts w:hint="eastAsia"/>
          <w:sz w:val="18"/>
          <w:szCs w:val="18"/>
          <w:highlight w:val="none"/>
        </w:rPr>
        <w:t>现金分红与红利再投资。温州银行可选择现金红利分配或将现金红利自动转为</w:t>
      </w:r>
      <w:r>
        <w:rPr>
          <w:rFonts w:hint="eastAsia"/>
          <w:sz w:val="18"/>
          <w:szCs w:val="18"/>
          <w:highlight w:val="none"/>
          <w:lang w:val="en-US" w:eastAsia="zh-CN"/>
        </w:rPr>
        <w:t>产品</w:t>
      </w:r>
      <w:r>
        <w:rPr>
          <w:rFonts w:hint="eastAsia"/>
          <w:sz w:val="18"/>
          <w:szCs w:val="18"/>
          <w:highlight w:val="none"/>
        </w:rPr>
        <w:t>份额进行再投资的方式进行收益分配。</w:t>
      </w:r>
    </w:p>
    <w:p>
      <w:pPr>
        <w:adjustRightInd w:val="0"/>
        <w:snapToGrid w:val="0"/>
        <w:spacing w:line="286" w:lineRule="auto"/>
        <w:rPr>
          <w:rFonts w:hint="eastAsia"/>
          <w:sz w:val="18"/>
          <w:szCs w:val="18"/>
          <w:highlight w:val="none"/>
        </w:rPr>
      </w:pPr>
      <w:r>
        <w:rPr>
          <w:rFonts w:hint="eastAsia"/>
          <w:sz w:val="18"/>
          <w:szCs w:val="18"/>
          <w:highlight w:val="none"/>
          <w:lang w:eastAsia="zh-CN"/>
        </w:rPr>
        <w:t>（</w:t>
      </w:r>
      <w:r>
        <w:rPr>
          <w:rFonts w:hint="eastAsia"/>
          <w:sz w:val="18"/>
          <w:szCs w:val="18"/>
          <w:highlight w:val="none"/>
          <w:lang w:val="en-US" w:eastAsia="zh-CN"/>
        </w:rPr>
        <w:t>4</w:t>
      </w:r>
      <w:r>
        <w:rPr>
          <w:rFonts w:hint="eastAsia"/>
          <w:sz w:val="18"/>
          <w:szCs w:val="18"/>
          <w:highlight w:val="none"/>
          <w:lang w:eastAsia="zh-CN"/>
        </w:rPr>
        <w:t>）</w:t>
      </w:r>
      <w:r>
        <w:rPr>
          <w:rFonts w:hint="eastAsia"/>
          <w:sz w:val="18"/>
          <w:szCs w:val="18"/>
          <w:highlight w:val="none"/>
        </w:rPr>
        <w:t>投资者持有本理财计划期间，温州银行不承诺保证本金安全且不保证理财收益，投资者应得收益（如有）随投资盈亏水平浮动。</w:t>
      </w:r>
    </w:p>
    <w:p>
      <w:pPr>
        <w:adjustRightInd w:val="0"/>
        <w:snapToGrid w:val="0"/>
        <w:spacing w:line="286" w:lineRule="auto"/>
        <w:rPr>
          <w:rFonts w:hint="eastAsia"/>
          <w:sz w:val="18"/>
          <w:szCs w:val="18"/>
          <w:highlight w:val="none"/>
          <w:lang w:val="en-US" w:eastAsia="zh-CN"/>
        </w:rPr>
      </w:pPr>
      <w:r>
        <w:rPr>
          <w:rFonts w:hint="eastAsia"/>
          <w:sz w:val="18"/>
          <w:szCs w:val="18"/>
          <w:highlight w:val="none"/>
          <w:lang w:val="en-US" w:eastAsia="zh-CN"/>
        </w:rPr>
        <w:t>3、收益分配方案的确定与披露</w:t>
      </w:r>
    </w:p>
    <w:p>
      <w:pPr>
        <w:adjustRightInd w:val="0"/>
        <w:snapToGrid w:val="0"/>
        <w:spacing w:line="286" w:lineRule="auto"/>
        <w:rPr>
          <w:b/>
          <w:sz w:val="18"/>
          <w:szCs w:val="18"/>
          <w:highlight w:val="none"/>
        </w:rPr>
      </w:pPr>
      <w:r>
        <w:rPr>
          <w:rFonts w:hint="eastAsia"/>
          <w:sz w:val="18"/>
          <w:szCs w:val="18"/>
          <w:highlight w:val="none"/>
          <w:lang w:val="en-US" w:eastAsia="zh-CN"/>
        </w:rPr>
        <w:t>（1）本理财计划收益分配方案由产品管理人拟定，至少在分配日前1个工作日进行公告，</w:t>
      </w:r>
      <w:r>
        <w:rPr>
          <w:rFonts w:hint="eastAsia"/>
          <w:sz w:val="18"/>
          <w:szCs w:val="18"/>
          <w:highlight w:val="none"/>
        </w:rPr>
        <w:t>理财</w:t>
      </w:r>
      <w:r>
        <w:rPr>
          <w:rFonts w:hint="eastAsia"/>
          <w:sz w:val="18"/>
          <w:szCs w:val="18"/>
          <w:highlight w:val="none"/>
          <w:lang w:val="en-US" w:eastAsia="zh-CN"/>
        </w:rPr>
        <w:t>计划</w:t>
      </w:r>
      <w:r>
        <w:rPr>
          <w:rFonts w:hint="eastAsia"/>
          <w:sz w:val="18"/>
          <w:szCs w:val="18"/>
          <w:highlight w:val="none"/>
        </w:rPr>
        <w:t>产品说明书</w:t>
      </w:r>
      <w:r>
        <w:rPr>
          <w:rFonts w:hint="eastAsia"/>
          <w:sz w:val="18"/>
          <w:szCs w:val="18"/>
          <w:highlight w:val="none"/>
          <w:lang w:val="en-US" w:eastAsia="zh-CN"/>
        </w:rPr>
        <w:t>对收益分配方案已有约定的除外</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投资者理财计划到期日应得资金（如有，下同）计算公式如下：</w:t>
      </w:r>
    </w:p>
    <w:p>
      <w:pPr>
        <w:adjustRightInd w:val="0"/>
        <w:snapToGrid w:val="0"/>
        <w:spacing w:line="286" w:lineRule="auto"/>
        <w:rPr>
          <w:sz w:val="18"/>
          <w:szCs w:val="18"/>
          <w:highlight w:val="none"/>
        </w:rPr>
      </w:pPr>
      <w:r>
        <w:rPr>
          <w:rFonts w:hint="eastAsia"/>
          <w:sz w:val="18"/>
          <w:szCs w:val="18"/>
          <w:highlight w:val="none"/>
        </w:rPr>
        <w:t>投资者应得资金</w:t>
      </w:r>
      <w:r>
        <w:rPr>
          <w:sz w:val="18"/>
          <w:szCs w:val="18"/>
          <w:highlight w:val="none"/>
        </w:rPr>
        <w:t>=</w:t>
      </w:r>
      <w:r>
        <w:rPr>
          <w:rFonts w:hint="eastAsia"/>
          <w:sz w:val="18"/>
          <w:szCs w:val="18"/>
          <w:highlight w:val="none"/>
        </w:rPr>
        <w:t>投资者理财计划到期日持有理财计划份额×理财计划到期日理财计划单位净值</w:t>
      </w:r>
      <w:r>
        <w:rPr>
          <w:sz w:val="18"/>
          <w:szCs w:val="18"/>
          <w:highlight w:val="none"/>
        </w:rPr>
        <w:t>-税费（如有）</w:t>
      </w:r>
      <w:r>
        <w:rPr>
          <w:rFonts w:hint="eastAsia"/>
          <w:sz w:val="18"/>
          <w:szCs w:val="18"/>
          <w:highlight w:val="none"/>
        </w:rPr>
        <w:t>如因理财</w:t>
      </w:r>
      <w:r>
        <w:rPr>
          <w:sz w:val="18"/>
          <w:szCs w:val="18"/>
          <w:highlight w:val="none"/>
        </w:rPr>
        <w:t>计划项</w:t>
      </w:r>
      <w:r>
        <w:rPr>
          <w:rFonts w:hint="eastAsia"/>
          <w:sz w:val="18"/>
          <w:szCs w:val="18"/>
          <w:highlight w:val="none"/>
        </w:rPr>
        <w:t>下债券</w:t>
      </w:r>
      <w:r>
        <w:rPr>
          <w:sz w:val="18"/>
          <w:szCs w:val="18"/>
          <w:highlight w:val="none"/>
        </w:rPr>
        <w:t>违约等原因，导致资产</w:t>
      </w:r>
      <w:r>
        <w:rPr>
          <w:rFonts w:hint="eastAsia"/>
          <w:sz w:val="18"/>
          <w:szCs w:val="18"/>
          <w:highlight w:val="none"/>
        </w:rPr>
        <w:t>无法</w:t>
      </w:r>
      <w:r>
        <w:rPr>
          <w:sz w:val="18"/>
          <w:szCs w:val="18"/>
          <w:highlight w:val="none"/>
        </w:rPr>
        <w:t>在</w:t>
      </w:r>
      <w:r>
        <w:rPr>
          <w:rFonts w:hint="eastAsia"/>
          <w:sz w:val="18"/>
          <w:szCs w:val="18"/>
          <w:highlight w:val="none"/>
        </w:rPr>
        <w:t>理财计划到期日内变现</w:t>
      </w:r>
      <w:r>
        <w:rPr>
          <w:sz w:val="18"/>
          <w:szCs w:val="18"/>
          <w:highlight w:val="none"/>
        </w:rPr>
        <w:t>，</w:t>
      </w:r>
      <w:r>
        <w:rPr>
          <w:rFonts w:hint="eastAsia"/>
          <w:sz w:val="18"/>
          <w:szCs w:val="18"/>
          <w:highlight w:val="none"/>
        </w:rPr>
        <w:t>则</w:t>
      </w:r>
      <w:r>
        <w:rPr>
          <w:sz w:val="18"/>
          <w:szCs w:val="18"/>
          <w:highlight w:val="none"/>
        </w:rPr>
        <w:t>投资者</w:t>
      </w:r>
      <w:r>
        <w:rPr>
          <w:rFonts w:hint="eastAsia"/>
          <w:sz w:val="18"/>
          <w:szCs w:val="18"/>
          <w:highlight w:val="none"/>
        </w:rPr>
        <w:t>应</w:t>
      </w:r>
      <w:r>
        <w:rPr>
          <w:sz w:val="18"/>
          <w:szCs w:val="18"/>
          <w:highlight w:val="none"/>
        </w:rPr>
        <w:t>得</w:t>
      </w:r>
      <w:r>
        <w:rPr>
          <w:rFonts w:hint="eastAsia"/>
          <w:sz w:val="18"/>
          <w:szCs w:val="18"/>
          <w:highlight w:val="none"/>
        </w:rPr>
        <w:t>资金为</w:t>
      </w:r>
      <w:r>
        <w:rPr>
          <w:sz w:val="18"/>
          <w:szCs w:val="18"/>
          <w:highlight w:val="none"/>
        </w:rPr>
        <w:t>实际资产变现</w:t>
      </w:r>
      <w:r>
        <w:rPr>
          <w:rFonts w:hint="eastAsia"/>
          <w:sz w:val="18"/>
          <w:szCs w:val="18"/>
          <w:highlight w:val="none"/>
        </w:rPr>
        <w:t>金额</w:t>
      </w:r>
      <w:r>
        <w:rPr>
          <w:sz w:val="18"/>
          <w:szCs w:val="18"/>
          <w:highlight w:val="none"/>
        </w:rPr>
        <w:t>扣除应由理财计划承担的费用</w:t>
      </w:r>
      <w:r>
        <w:rPr>
          <w:rFonts w:hint="eastAsia"/>
          <w:sz w:val="18"/>
          <w:szCs w:val="18"/>
          <w:highlight w:val="none"/>
        </w:rPr>
        <w:t>、</w:t>
      </w:r>
      <w:r>
        <w:rPr>
          <w:sz w:val="18"/>
          <w:szCs w:val="18"/>
          <w:highlight w:val="none"/>
        </w:rPr>
        <w:t>税费</w:t>
      </w:r>
      <w:r>
        <w:rPr>
          <w:rFonts w:hint="eastAsia"/>
          <w:sz w:val="18"/>
          <w:szCs w:val="18"/>
          <w:highlight w:val="none"/>
        </w:rPr>
        <w:t>后</w:t>
      </w:r>
      <w:r>
        <w:rPr>
          <w:sz w:val="18"/>
          <w:szCs w:val="18"/>
          <w:highlight w:val="none"/>
        </w:rPr>
        <w:t>的剩余金额</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（3）</w:t>
      </w:r>
      <w:r>
        <w:rPr>
          <w:rFonts w:hint="eastAsia"/>
          <w:sz w:val="18"/>
          <w:szCs w:val="18"/>
          <w:highlight w:val="none"/>
        </w:rPr>
        <w:t>理财</w:t>
      </w:r>
      <w:r>
        <w:rPr>
          <w:sz w:val="18"/>
          <w:szCs w:val="18"/>
          <w:highlight w:val="none"/>
        </w:rPr>
        <w:t>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理财计划预计到期收益的测算依据和测算方法</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）每份额收益</w:t>
      </w:r>
      <w:r>
        <w:rPr>
          <w:sz w:val="18"/>
          <w:szCs w:val="18"/>
          <w:highlight w:val="none"/>
        </w:rPr>
        <w:t>=</w:t>
      </w:r>
      <w:r>
        <w:rPr>
          <w:rFonts w:hint="eastAsia"/>
          <w:sz w:val="18"/>
          <w:szCs w:val="18"/>
          <w:highlight w:val="none"/>
        </w:rPr>
        <w:t>理财计划到期日单位净值-认购（申购）确认日前一自然日单位净值</w:t>
      </w:r>
      <w:r>
        <w:rPr>
          <w:sz w:val="18"/>
          <w:szCs w:val="18"/>
          <w:highlight w:val="none"/>
        </w:rPr>
        <w:t>-税费（如有）</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）投资者总收益</w:t>
      </w:r>
      <w:r>
        <w:rPr>
          <w:sz w:val="18"/>
          <w:szCs w:val="18"/>
          <w:highlight w:val="none"/>
        </w:rPr>
        <w:t>=</w:t>
      </w:r>
      <w:r>
        <w:rPr>
          <w:rFonts w:hint="eastAsia"/>
          <w:sz w:val="18"/>
          <w:szCs w:val="18"/>
          <w:highlight w:val="none"/>
        </w:rPr>
        <w:t>投资者理财计划到期日持有理财计划份额×每份额收益</w:t>
      </w:r>
    </w:p>
    <w:p>
      <w:pPr>
        <w:adjustRightInd w:val="0"/>
        <w:snapToGrid w:val="0"/>
        <w:spacing w:line="286" w:lineRule="auto"/>
        <w:rPr>
          <w:rFonts w:hint="eastAsia"/>
          <w:b/>
          <w:bCs/>
          <w:sz w:val="18"/>
          <w:szCs w:val="18"/>
          <w:highlight w:val="none"/>
          <w:lang w:val="en-US" w:eastAsia="zh-CN"/>
        </w:rPr>
      </w:pPr>
      <w:r>
        <w:rPr>
          <w:rFonts w:hint="eastAsia"/>
          <w:b/>
          <w:bCs/>
          <w:sz w:val="18"/>
          <w:szCs w:val="18"/>
          <w:highlight w:val="none"/>
          <w:lang w:val="en-US" w:eastAsia="zh-CN"/>
        </w:rPr>
        <w:t>理财终止清算</w:t>
      </w:r>
    </w:p>
    <w:p>
      <w:pPr>
        <w:adjustRightInd w:val="0"/>
        <w:snapToGrid w:val="0"/>
        <w:spacing w:line="286" w:lineRule="auto"/>
        <w:rPr>
          <w:sz w:val="18"/>
          <w:szCs w:val="18"/>
          <w:highlight w:val="none"/>
        </w:rPr>
      </w:pPr>
      <w:r>
        <w:rPr>
          <w:rFonts w:hint="eastAsia"/>
          <w:sz w:val="18"/>
          <w:szCs w:val="18"/>
          <w:highlight w:val="none"/>
          <w:lang w:val="en-US" w:eastAsia="zh-CN"/>
        </w:rPr>
        <w:t>1、</w:t>
      </w:r>
      <w:r>
        <w:rPr>
          <w:rFonts w:hint="eastAsia"/>
          <w:sz w:val="18"/>
          <w:szCs w:val="18"/>
          <w:highlight w:val="none"/>
        </w:rPr>
        <w:t>理财计划终止时，如理财计划项下财产全部变现，温州银行在理财计划终止日后</w:t>
      </w:r>
      <w:r>
        <w:rPr>
          <w:sz w:val="18"/>
          <w:szCs w:val="18"/>
          <w:highlight w:val="none"/>
        </w:rPr>
        <w:t>5</w:t>
      </w:r>
      <w:r>
        <w:rPr>
          <w:rFonts w:hint="eastAsia"/>
          <w:sz w:val="18"/>
          <w:szCs w:val="18"/>
          <w:highlight w:val="none"/>
        </w:rPr>
        <w:t>个工作日内将投资者应得资金划转至投资者账户。清算期超过5日的，温州银行</w:t>
      </w:r>
      <w:r>
        <w:rPr>
          <w:sz w:val="18"/>
          <w:szCs w:val="18"/>
          <w:highlight w:val="none"/>
        </w:rPr>
        <w:t>将</w:t>
      </w:r>
      <w:r>
        <w:rPr>
          <w:rFonts w:hint="eastAsia"/>
          <w:sz w:val="18"/>
          <w:szCs w:val="18"/>
          <w:highlight w:val="none"/>
          <w:lang w:val="en-US" w:eastAsia="zh-CN"/>
        </w:rPr>
        <w:t>在原定清算期结束前</w:t>
      </w:r>
      <w:r>
        <w:rPr>
          <w:rFonts w:hint="eastAsia"/>
          <w:sz w:val="18"/>
          <w:szCs w:val="18"/>
          <w:highlight w:val="none"/>
        </w:rPr>
        <w:t>根据约定方式进行</w:t>
      </w:r>
      <w:r>
        <w:rPr>
          <w:sz w:val="18"/>
          <w:szCs w:val="18"/>
          <w:highlight w:val="none"/>
        </w:rPr>
        <w:t>信息披露</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lang w:val="en-US" w:eastAsia="zh-CN"/>
        </w:rPr>
        <w:t>2、</w:t>
      </w:r>
      <w:r>
        <w:rPr>
          <w:rFonts w:hint="eastAsia"/>
          <w:sz w:val="18"/>
          <w:szCs w:val="18"/>
          <w:highlight w:val="none"/>
        </w:rPr>
        <w:t>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highlight w:val="none"/>
          <w:lang w:val="en-US"/>
        </w:rPr>
        <w:t>以及</w:t>
      </w:r>
      <w:r>
        <w:rPr>
          <w:rFonts w:hint="eastAsia"/>
          <w:sz w:val="18"/>
          <w:szCs w:val="18"/>
          <w:highlight w:val="none"/>
        </w:rPr>
        <w:t>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highlight w:val="none"/>
          <w:u w:val="single"/>
        </w:rPr>
        <w:t>非开放期不得提前赎回</w:t>
      </w:r>
      <w:r>
        <w:rPr>
          <w:rFonts w:hint="eastAsia"/>
          <w:sz w:val="18"/>
          <w:szCs w:val="18"/>
          <w:highlight w:val="none"/>
        </w:rPr>
        <w:t>。在理财计划存续期内的每个赎回日，若该赎回日内净赎回</w:t>
      </w:r>
      <w:r>
        <w:rPr>
          <w:rFonts w:hint="eastAsia"/>
          <w:sz w:val="18"/>
          <w:szCs w:val="18"/>
          <w:highlight w:val="none"/>
          <w:lang w:val="en-US" w:eastAsia="zh-CN"/>
        </w:rPr>
        <w:t>申请</w:t>
      </w:r>
      <w:r>
        <w:rPr>
          <w:rFonts w:hint="eastAsia"/>
          <w:sz w:val="18"/>
          <w:szCs w:val="18"/>
          <w:highlight w:val="none"/>
        </w:rPr>
        <w:t>份额合计超过</w:t>
      </w:r>
      <w:r>
        <w:rPr>
          <w:rFonts w:hint="eastAsia"/>
          <w:sz w:val="18"/>
          <w:szCs w:val="18"/>
          <w:highlight w:val="none"/>
          <w:lang w:val="en-US" w:eastAsia="zh-CN"/>
        </w:rPr>
        <w:t>前一日终</w:t>
      </w:r>
      <w:r>
        <w:rPr>
          <w:rFonts w:hint="eastAsia"/>
          <w:sz w:val="18"/>
          <w:szCs w:val="18"/>
          <w:highlight w:val="none"/>
        </w:rPr>
        <w:t>理财产品总份额的</w:t>
      </w:r>
      <w:r>
        <w:rPr>
          <w:rFonts w:hint="eastAsia"/>
          <w:sz w:val="18"/>
          <w:szCs w:val="18"/>
          <w:highlight w:val="none"/>
          <w:lang w:val="en-US" w:eastAsia="zh-CN"/>
        </w:rPr>
        <w:t>1</w:t>
      </w:r>
      <w:r>
        <w:rPr>
          <w:rFonts w:hint="eastAsia"/>
          <w:sz w:val="18"/>
          <w:szCs w:val="18"/>
          <w:highlight w:val="none"/>
        </w:rPr>
        <w:t>0%，则发生巨额赎回事件，温州银行有权拒绝接受超过</w:t>
      </w:r>
      <w:r>
        <w:rPr>
          <w:rFonts w:hint="eastAsia"/>
          <w:sz w:val="18"/>
          <w:szCs w:val="18"/>
          <w:highlight w:val="none"/>
          <w:lang w:val="en-US" w:eastAsia="zh-CN"/>
        </w:rPr>
        <w:t>1</w:t>
      </w:r>
      <w:r>
        <w:rPr>
          <w:rFonts w:hint="eastAsia"/>
          <w:sz w:val="18"/>
          <w:szCs w:val="18"/>
          <w:highlight w:val="none"/>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highlight w:val="none"/>
        </w:rPr>
      </w:pPr>
      <w:r>
        <w:rPr>
          <w:sz w:val="18"/>
          <w:szCs w:val="18"/>
          <w:highlight w:val="none"/>
        </w:rPr>
        <w:t>5</w:t>
      </w:r>
      <w:r>
        <w:rPr>
          <w:rFonts w:hint="eastAsia"/>
          <w:sz w:val="18"/>
          <w:szCs w:val="18"/>
          <w:highlight w:val="none"/>
        </w:rPr>
        <w:t>、市场风险：</w:t>
      </w:r>
      <w:r>
        <w:rPr>
          <w:rFonts w:ascii="宋体" w:hAnsi="宋体"/>
          <w:sz w:val="18"/>
          <w:szCs w:val="18"/>
          <w:highlight w:val="none"/>
        </w:rPr>
        <w:t>指由于债券市场</w:t>
      </w:r>
      <w:r>
        <w:rPr>
          <w:rFonts w:hint="eastAsia" w:ascii="宋体" w:hAnsi="宋体"/>
          <w:sz w:val="18"/>
          <w:szCs w:val="18"/>
          <w:highlight w:val="none"/>
        </w:rPr>
        <w:t>或资本市场</w:t>
      </w:r>
      <w:r>
        <w:rPr>
          <w:rFonts w:ascii="宋体" w:hAnsi="宋体"/>
          <w:sz w:val="18"/>
          <w:szCs w:val="18"/>
          <w:highlight w:val="none"/>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highlight w:val="none"/>
          <w:lang w:eastAsia="zh-CN"/>
        </w:rPr>
        <w:t>证券市场造成</w:t>
      </w:r>
      <w:r>
        <w:rPr>
          <w:rFonts w:ascii="宋体" w:hAnsi="宋体"/>
          <w:sz w:val="18"/>
          <w:szCs w:val="18"/>
          <w:highlight w:val="none"/>
        </w:rPr>
        <w:t>不同程度的影响，从而产生市场风险。</w:t>
      </w:r>
      <w:r>
        <w:rPr>
          <w:rFonts w:hint="eastAsia" w:ascii="宋体" w:hAnsi="宋体"/>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lang w:eastAsia="zh-CN"/>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highlight w:val="none"/>
        </w:rPr>
      </w:pPr>
      <w:r>
        <w:rPr>
          <w:rFonts w:hint="eastAsia" w:ascii="宋体" w:hAnsi="宋体"/>
          <w:sz w:val="18"/>
          <w:szCs w:val="18"/>
          <w:highlight w:val="none"/>
        </w:rPr>
        <w:t>9</w:t>
      </w:r>
      <w:r>
        <w:rPr>
          <w:rFonts w:hint="eastAsia" w:ascii="Times New Roman" w:hAnsi="Times New Roman" w:cs="Times New Roman"/>
          <w:kern w:val="2"/>
          <w:sz w:val="18"/>
          <w:szCs w:val="18"/>
          <w:highlight w:val="none"/>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披露理财产品的季度报告，每年8月31日前披露产品的半年度报告，每年4月30日前披露产品上一年度的年度报告。理财产品成立不足90个自然日的，可以不编制当期的季度、半年和年度报告。产品期限超过90个自然日的理财产品应当在存续期内至少披露一次定期报告。理财产品剩余存续期不足完整报告期，且到期公告或清算报告包括对应定期报告内容的，可以不编制剩余存续期所对应的季度、半年和年度报告。开放式产品在每个开放日结束后两个工作日内，披露产品在开放日的份额净值、份额累计净值、认（申）购价格和赎回价格。处于封闭期的定期开放式产品，至少每周披露一次产品的份额净值、份额累计净值和资产净值</w:t>
      </w:r>
      <w:r>
        <w:rPr>
          <w:rFonts w:hint="eastAsia"/>
          <w:sz w:val="18"/>
          <w:szCs w:val="18"/>
          <w:highlight w:val="none"/>
          <w:lang w:eastAsia="zh-CN"/>
        </w:rPr>
        <w:t>，</w:t>
      </w:r>
      <w:r>
        <w:rPr>
          <w:rFonts w:hint="eastAsia"/>
          <w:sz w:val="18"/>
          <w:szCs w:val="18"/>
          <w:highlight w:val="none"/>
          <w:lang w:val="en-US" w:eastAsia="zh-CN"/>
        </w:rPr>
        <w:t>如遇法定节假日顺延</w:t>
      </w:r>
      <w:r>
        <w:rPr>
          <w:rFonts w:hint="eastAsia"/>
          <w:sz w:val="18"/>
          <w:szCs w:val="18"/>
          <w:highlight w:val="none"/>
        </w:rPr>
        <w:t>。</w:t>
      </w:r>
    </w:p>
    <w:p>
      <w:pPr>
        <w:numPr>
          <w:ilvl w:val="0"/>
          <w:numId w:val="4"/>
        </w:numPr>
        <w:adjustRightInd w:val="0"/>
        <w:snapToGrid w:val="0"/>
        <w:spacing w:line="286" w:lineRule="auto"/>
        <w:rPr>
          <w:sz w:val="18"/>
          <w:szCs w:val="18"/>
          <w:highlight w:val="none"/>
        </w:rPr>
      </w:pPr>
      <w:r>
        <w:rPr>
          <w:rFonts w:hint="eastAsia"/>
          <w:sz w:val="18"/>
          <w:szCs w:val="18"/>
          <w:highlight w:val="none"/>
        </w:rPr>
        <w:t>临时性公告：</w:t>
      </w:r>
    </w:p>
    <w:p>
      <w:pPr>
        <w:adjustRightInd w:val="0"/>
        <w:snapToGrid w:val="0"/>
        <w:spacing w:line="286" w:lineRule="auto"/>
        <w:rPr>
          <w:sz w:val="18"/>
          <w:szCs w:val="18"/>
          <w:highlight w:val="none"/>
        </w:rPr>
      </w:pPr>
      <w:r>
        <w:rPr>
          <w:rFonts w:hint="eastAsia"/>
          <w:sz w:val="18"/>
          <w:szCs w:val="18"/>
          <w:highlight w:val="none"/>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highlight w:val="none"/>
        </w:rPr>
      </w:pPr>
      <w:r>
        <w:rPr>
          <w:rFonts w:hint="eastAsia"/>
          <w:b/>
          <w:sz w:val="18"/>
          <w:szCs w:val="18"/>
          <w:highlight w:val="none"/>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highlight w:val="none"/>
        </w:rPr>
      </w:pPr>
      <w:r>
        <w:rPr>
          <w:rFonts w:hint="eastAsia"/>
          <w:b/>
          <w:sz w:val="18"/>
          <w:szCs w:val="18"/>
          <w:highlight w:val="none"/>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highlight w:val="none"/>
        </w:rPr>
      </w:pPr>
      <w:r>
        <w:rPr>
          <w:rFonts w:hint="eastAsia"/>
          <w:b w:val="0"/>
          <w:bCs/>
          <w:sz w:val="18"/>
          <w:szCs w:val="18"/>
          <w:highlight w:val="none"/>
          <w:lang w:eastAsia="zh-CN"/>
        </w:rPr>
        <w:t>（</w:t>
      </w:r>
      <w:r>
        <w:rPr>
          <w:rFonts w:hint="eastAsia"/>
          <w:b w:val="0"/>
          <w:bCs/>
          <w:sz w:val="18"/>
          <w:szCs w:val="18"/>
          <w:highlight w:val="none"/>
          <w:lang w:val="en-US" w:eastAsia="zh-CN"/>
        </w:rPr>
        <w:t>4</w:t>
      </w:r>
      <w:r>
        <w:rPr>
          <w:rFonts w:hint="eastAsia"/>
          <w:b w:val="0"/>
          <w:bCs/>
          <w:sz w:val="18"/>
          <w:szCs w:val="18"/>
          <w:highlight w:val="none"/>
          <w:lang w:eastAsia="zh-CN"/>
        </w:rPr>
        <w:t>）</w:t>
      </w:r>
      <w:r>
        <w:rPr>
          <w:rFonts w:hint="eastAsia"/>
          <w:b w:val="0"/>
          <w:bCs/>
          <w:sz w:val="18"/>
          <w:szCs w:val="18"/>
          <w:highlight w:val="none"/>
          <w:lang w:val="en-US" w:eastAsia="zh-CN"/>
        </w:rPr>
        <w:t>根据法律法规、监管规定及本理财产品说明书约定需进行其他临时性信息披露的，按照相关法律法规、监管规定及本理财产品说明书约定执行。</w:t>
      </w:r>
    </w:p>
    <w:p>
      <w:pPr>
        <w:adjustRightInd w:val="0"/>
        <w:snapToGrid w:val="0"/>
        <w:spacing w:line="286" w:lineRule="auto"/>
        <w:rPr>
          <w:sz w:val="18"/>
          <w:szCs w:val="18"/>
          <w:highlight w:val="none"/>
        </w:rPr>
      </w:pPr>
      <w:r>
        <w:rPr>
          <w:rFonts w:hint="eastAsia"/>
          <w:sz w:val="18"/>
          <w:szCs w:val="18"/>
          <w:highlight w:val="none"/>
          <w:lang w:val="en-US" w:eastAsia="zh-CN"/>
        </w:rPr>
        <w:t>4</w:t>
      </w:r>
      <w:r>
        <w:rPr>
          <w:rFonts w:hint="eastAsia"/>
          <w:sz w:val="18"/>
          <w:szCs w:val="18"/>
          <w:highlight w:val="none"/>
        </w:rPr>
        <w:t>、到期公告：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rFonts w:hint="eastAsia"/>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lang w:val="en-US" w:eastAsia="zh-CN"/>
        </w:rPr>
        <w:t>5</w:t>
      </w:r>
      <w:r>
        <w:rPr>
          <w:rFonts w:hint="eastAsia"/>
          <w:sz w:val="18"/>
          <w:szCs w:val="18"/>
          <w:highlight w:val="none"/>
        </w:rPr>
        <w:t>、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lang w:val="en-US" w:eastAsia="zh-CN"/>
        </w:rPr>
        <w:t>6</w:t>
      </w:r>
      <w:r>
        <w:rPr>
          <w:rFonts w:hint="eastAsia"/>
          <w:sz w:val="18"/>
          <w:szCs w:val="18"/>
          <w:highlight w:val="none"/>
        </w:rPr>
        <w:t>、理财产品账单：温州银行将在理财期内在温州银行网站（www.wzbank.cn）或电子银行等信息平台，至少按月为投资者提供理财产品账单信息。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highlight w:val="none"/>
        </w:rPr>
      </w:pPr>
      <w:r>
        <w:rPr>
          <w:rFonts w:hint="eastAsia"/>
          <w:b/>
          <w:sz w:val="18"/>
          <w:szCs w:val="18"/>
          <w:highlight w:val="none"/>
        </w:rPr>
        <w:t>投资者信息管理</w:t>
      </w:r>
    </w:p>
    <w:p>
      <w:pPr>
        <w:adjustRightInd w:val="0"/>
        <w:snapToGrid w:val="0"/>
        <w:spacing w:line="285" w:lineRule="auto"/>
        <w:rPr>
          <w:b/>
          <w:bCs/>
          <w:sz w:val="18"/>
          <w:szCs w:val="18"/>
          <w:highlight w:val="none"/>
        </w:rPr>
      </w:pPr>
      <w:r>
        <w:rPr>
          <w:rFonts w:hint="eastAsia"/>
          <w:b/>
          <w:bCs/>
          <w:sz w:val="18"/>
          <w:szCs w:val="18"/>
          <w:highlight w:val="none"/>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b/>
          <w:bCs/>
          <w:sz w:val="18"/>
          <w:szCs w:val="18"/>
          <w:highlight w:val="none"/>
        </w:rPr>
      </w:pPr>
      <w:r>
        <w:rPr>
          <w:rFonts w:hint="eastAsia"/>
          <w:b/>
          <w:bCs/>
          <w:sz w:val="18"/>
          <w:szCs w:val="18"/>
          <w:highlight w:val="none"/>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向司法机构、监管机构、产品登记机构或审计机构提供投资者信息；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b/>
          <w:bCs/>
          <w:sz w:val="18"/>
          <w:szCs w:val="18"/>
          <w:highlight w:val="none"/>
        </w:rPr>
      </w:pPr>
      <w:r>
        <w:rPr>
          <w:rFonts w:hint="eastAsia"/>
          <w:b/>
          <w:bCs/>
          <w:sz w:val="18"/>
          <w:szCs w:val="18"/>
          <w:highlight w:val="none"/>
        </w:rPr>
        <w:t>法律、行政法规和国务院监督管理机构另有规定或允许情形。</w:t>
      </w:r>
    </w:p>
    <w:p>
      <w:pPr>
        <w:adjustRightInd w:val="0"/>
        <w:snapToGrid w:val="0"/>
        <w:spacing w:line="286" w:lineRule="auto"/>
        <w:rPr>
          <w:b/>
          <w:sz w:val="18"/>
          <w:szCs w:val="18"/>
          <w:highlight w:val="none"/>
        </w:rPr>
      </w:pPr>
      <w:r>
        <w:rPr>
          <w:rFonts w:hint="eastAsia"/>
          <w:b/>
          <w:sz w:val="18"/>
          <w:szCs w:val="18"/>
          <w:highlight w:val="none"/>
        </w:rPr>
        <w:t>产品认购（申购）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b/>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w:t>
      </w:r>
    </w:p>
    <w:p>
      <w:pPr>
        <w:adjustRightInd w:val="0"/>
        <w:snapToGrid w:val="0"/>
        <w:spacing w:line="286" w:lineRule="auto"/>
        <w:rPr>
          <w:sz w:val="18"/>
          <w:szCs w:val="18"/>
          <w:highlight w:val="none"/>
        </w:rPr>
      </w:pPr>
      <w:r>
        <w:rPr>
          <w:rFonts w:hint="eastAsia"/>
          <w:sz w:val="18"/>
          <w:szCs w:val="18"/>
          <w:highlight w:val="none"/>
        </w:rPr>
        <w:t>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color w:val="000000"/>
          <w:sz w:val="18"/>
          <w:szCs w:val="18"/>
          <w:highlight w:val="none"/>
        </w:rPr>
        <w:t>（3）《温州银行“金鹿理财-温盈”20069号开放式净值型银行理财计划风险揭示书》、《温州银行理财计划合约》、《温州银行“金鹿理财-温盈”20069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highlight w:val="none"/>
        </w:rPr>
      </w:pPr>
    </w:p>
    <w:p>
      <w:pPr>
        <w:spacing w:before="312" w:beforeLines="100" w:line="281" w:lineRule="auto"/>
        <w:rPr>
          <w:rFonts w:ascii="宋体" w:hAnsi="宋体"/>
          <w:szCs w:val="21"/>
          <w:highlight w:val="none"/>
        </w:rPr>
      </w:pPr>
      <w:r>
        <w:rPr>
          <w:rFonts w:hint="eastAsia" w:ascii="宋体" w:hAnsi="宋体"/>
          <w:szCs w:val="21"/>
          <w:highlight w:val="none"/>
        </w:rPr>
        <w:t xml:space="preserve">         投资者签章：                                 日期：</w:t>
      </w:r>
    </w:p>
    <w:p>
      <w:pPr>
        <w:spacing w:line="372" w:lineRule="auto"/>
        <w:rPr>
          <w:rFonts w:ascii="黑体" w:eastAsia="黑体"/>
          <w:sz w:val="30"/>
          <w:szCs w:val="30"/>
          <w:highlight w:val="none"/>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TDS2P6zL/WexgQtty9cRUYHmtyE=" w:salt="k7+CYjZMTSe7enQrgdAF7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241F4C"/>
    <w:rsid w:val="05692ECA"/>
    <w:rsid w:val="06AF5062"/>
    <w:rsid w:val="07B535DA"/>
    <w:rsid w:val="07EC55A4"/>
    <w:rsid w:val="08294507"/>
    <w:rsid w:val="0AB363EF"/>
    <w:rsid w:val="0CEF7946"/>
    <w:rsid w:val="0D055C57"/>
    <w:rsid w:val="0E697CA7"/>
    <w:rsid w:val="0EAA68C9"/>
    <w:rsid w:val="0F1A3EC9"/>
    <w:rsid w:val="0F3A26CB"/>
    <w:rsid w:val="10474F4D"/>
    <w:rsid w:val="10D46D68"/>
    <w:rsid w:val="110A015B"/>
    <w:rsid w:val="11AD367A"/>
    <w:rsid w:val="11FC6491"/>
    <w:rsid w:val="126D7BD7"/>
    <w:rsid w:val="12AF54F8"/>
    <w:rsid w:val="12C37B94"/>
    <w:rsid w:val="12C50DEC"/>
    <w:rsid w:val="15217A25"/>
    <w:rsid w:val="15BD1CB8"/>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1D060D6"/>
    <w:rsid w:val="228F020A"/>
    <w:rsid w:val="243D7238"/>
    <w:rsid w:val="25385D7F"/>
    <w:rsid w:val="25D455A1"/>
    <w:rsid w:val="26004320"/>
    <w:rsid w:val="284D2E1D"/>
    <w:rsid w:val="285844AB"/>
    <w:rsid w:val="29E93B84"/>
    <w:rsid w:val="2DC35A21"/>
    <w:rsid w:val="2F9C0B2A"/>
    <w:rsid w:val="2FDE6441"/>
    <w:rsid w:val="30633262"/>
    <w:rsid w:val="306F7311"/>
    <w:rsid w:val="30AB0CE7"/>
    <w:rsid w:val="31253F01"/>
    <w:rsid w:val="327E6664"/>
    <w:rsid w:val="33157C11"/>
    <w:rsid w:val="34B42407"/>
    <w:rsid w:val="35270B41"/>
    <w:rsid w:val="353E2A70"/>
    <w:rsid w:val="35EA1207"/>
    <w:rsid w:val="366C33D7"/>
    <w:rsid w:val="36E42715"/>
    <w:rsid w:val="37965442"/>
    <w:rsid w:val="382F302B"/>
    <w:rsid w:val="38747519"/>
    <w:rsid w:val="388E3C7C"/>
    <w:rsid w:val="38E45900"/>
    <w:rsid w:val="39C8686F"/>
    <w:rsid w:val="3A4851EE"/>
    <w:rsid w:val="3A770E22"/>
    <w:rsid w:val="3B090C09"/>
    <w:rsid w:val="3BE35F9B"/>
    <w:rsid w:val="3D231C22"/>
    <w:rsid w:val="3E113873"/>
    <w:rsid w:val="3EF0533E"/>
    <w:rsid w:val="3F063D4E"/>
    <w:rsid w:val="3FC979F3"/>
    <w:rsid w:val="40076C80"/>
    <w:rsid w:val="4026664B"/>
    <w:rsid w:val="421B7FF4"/>
    <w:rsid w:val="42526821"/>
    <w:rsid w:val="4275406E"/>
    <w:rsid w:val="42A87CFF"/>
    <w:rsid w:val="43B55CF6"/>
    <w:rsid w:val="47643176"/>
    <w:rsid w:val="47F32BE2"/>
    <w:rsid w:val="496F6480"/>
    <w:rsid w:val="497C717E"/>
    <w:rsid w:val="49815F2A"/>
    <w:rsid w:val="49C633C6"/>
    <w:rsid w:val="4A2E173D"/>
    <w:rsid w:val="4ABC78E8"/>
    <w:rsid w:val="4BDD7CC5"/>
    <w:rsid w:val="4C26757B"/>
    <w:rsid w:val="4C331F53"/>
    <w:rsid w:val="4C4B4443"/>
    <w:rsid w:val="4C8807EB"/>
    <w:rsid w:val="4DF26BF1"/>
    <w:rsid w:val="4ED34292"/>
    <w:rsid w:val="4FC865FE"/>
    <w:rsid w:val="51FA7F99"/>
    <w:rsid w:val="524916E3"/>
    <w:rsid w:val="52544188"/>
    <w:rsid w:val="53EB39EC"/>
    <w:rsid w:val="55312E83"/>
    <w:rsid w:val="55CE1987"/>
    <w:rsid w:val="55EF3F6F"/>
    <w:rsid w:val="576363EF"/>
    <w:rsid w:val="58780E48"/>
    <w:rsid w:val="588714B8"/>
    <w:rsid w:val="58E62499"/>
    <w:rsid w:val="59647D3E"/>
    <w:rsid w:val="597C685E"/>
    <w:rsid w:val="5A250F91"/>
    <w:rsid w:val="5A6516AD"/>
    <w:rsid w:val="5B8F5673"/>
    <w:rsid w:val="5CC812FA"/>
    <w:rsid w:val="5CCC65F5"/>
    <w:rsid w:val="5DA417E6"/>
    <w:rsid w:val="5E821239"/>
    <w:rsid w:val="5F650D3C"/>
    <w:rsid w:val="60675196"/>
    <w:rsid w:val="61AE7F1D"/>
    <w:rsid w:val="637E1589"/>
    <w:rsid w:val="658E5B8D"/>
    <w:rsid w:val="673B772F"/>
    <w:rsid w:val="686A13AA"/>
    <w:rsid w:val="690F109F"/>
    <w:rsid w:val="697F213B"/>
    <w:rsid w:val="6CA0717C"/>
    <w:rsid w:val="6D657193"/>
    <w:rsid w:val="6F0A3BD3"/>
    <w:rsid w:val="72B3716D"/>
    <w:rsid w:val="73E45411"/>
    <w:rsid w:val="74B84FF6"/>
    <w:rsid w:val="74CF1C9F"/>
    <w:rsid w:val="75F7452C"/>
    <w:rsid w:val="769A561B"/>
    <w:rsid w:val="77D232A2"/>
    <w:rsid w:val="78115854"/>
    <w:rsid w:val="78BB101F"/>
    <w:rsid w:val="78EE0575"/>
    <w:rsid w:val="7BDD1E8F"/>
    <w:rsid w:val="7BF13C4F"/>
    <w:rsid w:val="7C69082B"/>
    <w:rsid w:val="7DDE5540"/>
    <w:rsid w:val="7DE500BC"/>
    <w:rsid w:val="7E1750DA"/>
    <w:rsid w:val="7E8B4C0D"/>
    <w:rsid w:val="7F9D7069"/>
    <w:rsid w:val="7FBE7774"/>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unhideWhenUsed/>
    <w:qFormat/>
    <w:uiPriority w:val="99"/>
    <w:pPr>
      <w:jc w:val="left"/>
    </w:pPr>
  </w:style>
  <w:style w:type="paragraph" w:styleId="3">
    <w:name w:val="Balloon Text"/>
    <w:basedOn w:val="1"/>
    <w:link w:val="15"/>
    <w:unhideWhenUsed/>
    <w:qFormat/>
    <w:uiPriority w:val="99"/>
    <w:rPr>
      <w:sz w:val="18"/>
      <w:szCs w:val="18"/>
    </w:rPr>
  </w:style>
  <w:style w:type="paragraph" w:styleId="4">
    <w:name w:val="footer"/>
    <w:basedOn w:val="1"/>
    <w:link w:val="18"/>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7"/>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9"/>
    <w:unhideWhenUsed/>
    <w:qFormat/>
    <w:uiPriority w:val="99"/>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5">
    <w:name w:val="批注框文本 字符"/>
    <w:link w:val="3"/>
    <w:semiHidden/>
    <w:qFormat/>
    <w:uiPriority w:val="99"/>
    <w:rPr>
      <w:rFonts w:ascii="Times New Roman" w:hAnsi="Times New Roman"/>
      <w:kern w:val="2"/>
      <w:sz w:val="18"/>
      <w:szCs w:val="18"/>
    </w:rPr>
  </w:style>
  <w:style w:type="character" w:customStyle="1" w:styleId="16">
    <w:name w:val="批注文字 字符"/>
    <w:link w:val="2"/>
    <w:semiHidden/>
    <w:qFormat/>
    <w:uiPriority w:val="99"/>
    <w:rPr>
      <w:rFonts w:ascii="Times New Roman" w:hAnsi="Times New Roman"/>
      <w:kern w:val="2"/>
      <w:sz w:val="21"/>
    </w:rPr>
  </w:style>
  <w:style w:type="character" w:customStyle="1" w:styleId="17">
    <w:name w:val="页眉 字符"/>
    <w:link w:val="5"/>
    <w:semiHidden/>
    <w:qFormat/>
    <w:uiPriority w:val="99"/>
    <w:rPr>
      <w:sz w:val="18"/>
      <w:szCs w:val="18"/>
    </w:rPr>
  </w:style>
  <w:style w:type="character" w:customStyle="1" w:styleId="18">
    <w:name w:val="页脚 字符"/>
    <w:link w:val="4"/>
    <w:qFormat/>
    <w:uiPriority w:val="99"/>
    <w:rPr>
      <w:sz w:val="18"/>
      <w:szCs w:val="18"/>
    </w:rPr>
  </w:style>
  <w:style w:type="character" w:customStyle="1" w:styleId="19">
    <w:name w:val="批注主题 字符"/>
    <w:link w:val="7"/>
    <w:semiHidden/>
    <w:qFormat/>
    <w:uiPriority w:val="99"/>
    <w:rPr>
      <w:rFonts w:ascii="Times New Roman" w:hAnsi="Times New Roman"/>
      <w:b/>
      <w:bCs/>
      <w:kern w:val="2"/>
      <w:sz w:val="21"/>
    </w:rPr>
  </w:style>
  <w:style w:type="paragraph" w:customStyle="1" w:styleId="20">
    <w:name w:val="Normal_e3a4be77-0b35-4d95-b8da-af5e8abae09a"/>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eastAsia="宋体" w:cs="Times New Roman"/>
      <w:kern w:val="2"/>
      <w:sz w:val="21"/>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13</Pages>
  <Words>1267</Words>
  <Characters>1269</Characters>
  <Lines>133</Lines>
  <Paragraphs>37</Paragraphs>
  <TotalTime>0</TotalTime>
  <ScaleCrop>false</ScaleCrop>
  <LinksUpToDate>false</LinksUpToDate>
  <CharactersWithSpaces>1508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2026-11-06T07:06:53Z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