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bookmarkStart w:id="0" w:name="_GoBack"/>
      <w:bookmarkEnd w:id="0"/>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20051</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温盈”</w:t>
      </w:r>
      <w:r>
        <w:rPr>
          <w:rFonts w:hint="eastAsia"/>
          <w:color w:val="000000"/>
          <w:szCs w:val="21"/>
          <w:highlight w:val="none"/>
          <w:u w:val="single"/>
        </w:rPr>
        <w:t>20051</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highlight w:val="none"/>
        </w:rPr>
        <w:t>“金鹿理财-温盈”20051号开放式净值</w:t>
      </w:r>
      <w:r>
        <w:rPr>
          <w:rFonts w:hint="eastAsia"/>
          <w:szCs w:val="21"/>
          <w:highlight w:val="none"/>
        </w:rPr>
        <w:t>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highlight w:val="none"/>
        </w:rPr>
      </w:pPr>
      <w:r>
        <w:rPr>
          <w:rFonts w:hint="eastAsia" w:ascii="宋体" w:hAnsi="宋体"/>
          <w:color w:val="000000"/>
          <w:szCs w:val="21"/>
          <w:highlight w:val="none"/>
        </w:rPr>
        <w:t>三、本风险揭示书及《温州银行“金鹿理财-温盈”20051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温盈”20051号开放式净值型银行理财计划产品说明书》、《温州银行“金鹿理财-温盈”20051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0" w:lineRule="auto"/>
        <w:jc w:val="center"/>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20051</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color w:val="000000"/>
          <w:sz w:val="18"/>
          <w:szCs w:val="18"/>
          <w:highlight w:val="none"/>
        </w:rPr>
        <w:t>温盈”20051号开放式净值型银行理财计划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highlight w:val="none"/>
          <w:lang w:eastAsia="zh-CN"/>
        </w:rPr>
        <w:t>。</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“金鹿理财-温盈”</w:t>
            </w:r>
            <w:r>
              <w:rPr>
                <w:rFonts w:hint="eastAsia"/>
                <w:color w:val="000000"/>
                <w:sz w:val="18"/>
                <w:szCs w:val="18"/>
                <w:highlight w:val="none"/>
                <w:u w:val="single"/>
              </w:rPr>
              <w:t>20051</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color w:val="000000"/>
                <w:sz w:val="18"/>
                <w:szCs w:val="18"/>
                <w:highlight w:val="none"/>
              </w:rPr>
              <w:t>YJ2051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highlight w:val="none"/>
              </w:rPr>
              <w:t>C1092220000245</w:t>
            </w:r>
          </w:p>
          <w:p>
            <w:pPr>
              <w:pStyle w:val="14"/>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2020年5月20日</w:t>
            </w:r>
            <w:r>
              <w:rPr>
                <w:rFonts w:hint="eastAsia"/>
                <w:sz w:val="18"/>
                <w:szCs w:val="18"/>
                <w:u w:val="single"/>
              </w:rPr>
              <w:t>至</w:t>
            </w:r>
            <w:r>
              <w:rPr>
                <w:rFonts w:hint="eastAsia"/>
                <w:color w:val="000000"/>
                <w:sz w:val="18"/>
                <w:szCs w:val="18"/>
                <w:u w:val="single"/>
                <w:lang w:val="en-US" w:eastAsia="zh-CN"/>
              </w:rPr>
              <w:t>2020年5月26日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color w:val="000000"/>
                <w:sz w:val="18"/>
                <w:szCs w:val="18"/>
                <w:highlight w:val="none"/>
              </w:rPr>
              <w:t>首个投资运作周期的业绩比较基准为4.25%（年化）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温州银行官方网站或电子银行等信息平台进行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olor w:val="000000"/>
                <w:sz w:val="18"/>
                <w:szCs w:val="18"/>
                <w:highlight w:val="none"/>
              </w:rPr>
              <w:t>本理财计划成立日为2020年5月27日。温州银行有权根据实际募集情况选择产品提前成立，若温州银行采取以上措施，温州银行将就产品相应要素的调整事宜于提前成立日前的一个工作日在温州银行网站予以公告。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color w:val="000000"/>
                <w:sz w:val="18"/>
                <w:highlight w:val="none"/>
              </w:rPr>
              <w:t>182</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182</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将</w:t>
            </w:r>
            <w:r>
              <w:rPr>
                <w:rFonts w:ascii="宋体" w:hAnsi="宋体"/>
                <w:sz w:val="18"/>
                <w:highlight w:val="none"/>
              </w:rPr>
              <w:t>做相应调整</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color w:val="000000"/>
                <w:sz w:val="18"/>
                <w:szCs w:val="18"/>
                <w:highlight w:val="none"/>
              </w:rPr>
              <w:t>《温州银行“金鹿理财-温盈”20051号开放式净值型（第i期）银行理财计划开放认购（申购）申请书》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w:t>
            </w:r>
            <w:r>
              <w:rPr>
                <w:rFonts w:hint="eastAsia" w:cs="Times New Roman"/>
                <w:b/>
                <w:sz w:val="18"/>
                <w:szCs w:val="18"/>
                <w:highlight w:val="none"/>
                <w:lang w:val="en-US" w:eastAsia="zh-CN"/>
              </w:rPr>
              <w:t>温州</w:t>
            </w:r>
            <w:r>
              <w:rPr>
                <w:rFonts w:hint="eastAsia" w:cs="Times New Roman"/>
                <w:b/>
                <w:sz w:val="18"/>
                <w:szCs w:val="18"/>
                <w:highlight w:val="none"/>
              </w:rPr>
              <w:t>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b/>
                <w:sz w:val="18"/>
                <w:szCs w:val="18"/>
                <w:highlight w:val="none"/>
              </w:rPr>
            </w:pPr>
            <w:r>
              <w:rPr>
                <w:rFonts w:hint="eastAsia" w:cs="Times New Roman"/>
                <w:b w:val="0"/>
                <w:bCs/>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shd w:val="clear" w:color="auto" w:fill="auto"/>
            <w:vAlign w:val="top"/>
          </w:tcPr>
          <w:p>
            <w:pPr>
              <w:adjustRightInd w:val="0"/>
              <w:snapToGrid w:val="0"/>
              <w:spacing w:line="286" w:lineRule="auto"/>
              <w:rPr>
                <w:rFonts w:hint="eastAsia" w:ascii="Times New Roman" w:hAnsi="Times New Roman" w:eastAsia="宋体" w:cs="Times New Roman"/>
                <w:kern w:val="2"/>
                <w:sz w:val="18"/>
                <w:szCs w:val="18"/>
                <w:highlight w:val="none"/>
                <w:vertAlign w:val="baseline"/>
                <w:lang w:val="en-US" w:eastAsia="zh-CN" w:bidi="ar-SA"/>
              </w:rPr>
            </w:pPr>
            <w:r>
              <w:rPr>
                <w:rFonts w:hint="eastAsia"/>
                <w:color w:val="000000"/>
                <w:sz w:val="18"/>
                <w:szCs w:val="18"/>
                <w:highlight w:val="none"/>
                <w:vertAlign w:val="baseline"/>
                <w:lang w:eastAsia="zh-CN"/>
              </w:rPr>
              <w:t>2.00%-2.30%</w:t>
            </w:r>
          </w:p>
        </w:tc>
        <w:tc>
          <w:tcPr>
            <w:tcW w:w="2500" w:type="pct"/>
            <w:shd w:val="clear" w:color="auto" w:fill="auto"/>
            <w:vAlign w:val="top"/>
          </w:tcPr>
          <w:p>
            <w:pPr>
              <w:adjustRightInd w:val="0"/>
              <w:snapToGrid w:val="0"/>
              <w:spacing w:line="286" w:lineRule="auto"/>
              <w:rPr>
                <w:rFonts w:hint="eastAsia" w:ascii="Times New Roman" w:hAnsi="Times New Roman" w:eastAsia="宋体" w:cs="Times New Roman"/>
                <w:kern w:val="2"/>
                <w:sz w:val="18"/>
                <w:szCs w:val="18"/>
                <w:highlight w:val="none"/>
                <w:vertAlign w:val="baseline"/>
                <w:lang w:val="en-US" w:eastAsia="zh-CN" w:bidi="ar-SA"/>
              </w:rPr>
            </w:pPr>
            <w:r>
              <w:rPr>
                <w:rFonts w:hint="eastAsia"/>
                <w:color w:val="000000"/>
                <w:sz w:val="18"/>
                <w:szCs w:val="18"/>
                <w:highlight w:val="none"/>
                <w:vertAlign w:val="baseline"/>
                <w:lang w:eastAsia="zh-CN"/>
              </w:rPr>
              <w:t>2026年5月20日</w:t>
            </w: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宁波银行股份有限公司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浙江省宁波市鄞州区宁东路345号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sz w:val="18"/>
          <w:szCs w:val="18"/>
          <w:highlight w:val="none"/>
        </w:rPr>
      </w:pPr>
    </w:p>
    <w:p>
      <w:pPr>
        <w:adjustRightInd w:val="0"/>
        <w:snapToGrid w:val="0"/>
        <w:spacing w:line="286" w:lineRule="auto"/>
        <w:rPr>
          <w:b/>
          <w:bCs/>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 xml:space="preserve">日，投资管理人和理财托管人核对估值结果（如遇非工作日顺延至下一工作日）。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w:t>
      </w:r>
      <w:r>
        <w:rPr>
          <w:rFonts w:hint="eastAsia"/>
          <w:sz w:val="18"/>
          <w:szCs w:val="18"/>
          <w:highlight w:val="none"/>
          <w:lang w:val="en-US" w:eastAsia="zh-CN"/>
        </w:rPr>
        <w:t>所有的资产及负债</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sz w:val="18"/>
          <w:szCs w:val="18"/>
          <w:highlight w:val="none"/>
        </w:rPr>
      </w:pPr>
      <w:r>
        <w:rPr>
          <w:rFonts w:hint="eastAsia"/>
          <w:sz w:val="18"/>
          <w:szCs w:val="18"/>
          <w:highlight w:val="none"/>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color w:val="000000"/>
          <w:sz w:val="18"/>
          <w:szCs w:val="18"/>
          <w:highlight w:val="none"/>
        </w:rPr>
        <w:t>《温州银行“金鹿理财-温盈”20051号开放式净值型（第i期）银行理财计划开放认购（申购）申请书》。投资运作周期到期时，该周期内的资金收益情况根据所投资资产组合的实际运作情况确定。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：本理财计划成立日为2020年5月27日，从成立日起，每</w:t>
      </w:r>
      <w:r>
        <w:rPr>
          <w:rFonts w:ascii="宋体" w:hAnsi="宋体"/>
          <w:sz w:val="18"/>
          <w:highlight w:val="none"/>
        </w:rPr>
        <w:t>【</w:t>
      </w:r>
      <w:r>
        <w:rPr>
          <w:rFonts w:hint="eastAsia" w:ascii="宋体" w:hAnsi="宋体"/>
          <w:color w:val="000000"/>
          <w:sz w:val="18"/>
          <w:highlight w:val="none"/>
        </w:rPr>
        <w:t>182</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182</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lang w:eastAsia="zh-Hans"/>
        </w:rPr>
        <w:t>千</w:t>
      </w:r>
      <w:r>
        <w:rPr>
          <w:rFonts w:hint="eastAsia"/>
          <w:sz w:val="18"/>
          <w:szCs w:val="18"/>
          <w:highlight w:val="none"/>
        </w:rPr>
        <w:t>元或人民币</w:t>
      </w:r>
      <w:r>
        <w:rPr>
          <w:sz w:val="18"/>
          <w:szCs w:val="18"/>
          <w:highlight w:val="none"/>
        </w:rPr>
        <w:t>1</w:t>
      </w:r>
      <w:r>
        <w:rPr>
          <w:rFonts w:hint="eastAsia"/>
          <w:sz w:val="18"/>
          <w:szCs w:val="18"/>
          <w:highlight w:val="none"/>
          <w:lang w:eastAsia="zh-Hans"/>
        </w:rPr>
        <w:t>千</w:t>
      </w:r>
      <w:r>
        <w:rPr>
          <w:rFonts w:hint="eastAsia"/>
          <w:sz w:val="18"/>
          <w:szCs w:val="18"/>
          <w:highlight w:val="none"/>
        </w:rPr>
        <w:t>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理财计划采用“份额赎回”方式，赎回价格以赎回确认日前一自然日的理财计划份额净值为基准进行计算</w:t>
      </w:r>
      <w:r>
        <w:rPr>
          <w:rFonts w:hint="eastAsia"/>
          <w:sz w:val="18"/>
          <w:szCs w:val="18"/>
          <w:highlight w:val="none"/>
          <w:lang w:eastAsia="zh-CN"/>
        </w:rPr>
        <w:t>，</w:t>
      </w:r>
      <w:r>
        <w:rPr>
          <w:rFonts w:hint="eastAsia"/>
          <w:sz w:val="18"/>
          <w:szCs w:val="18"/>
          <w:highlight w:val="none"/>
        </w:rPr>
        <w:t>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sz w:val="18"/>
          <w:szCs w:val="18"/>
          <w:highlight w:val="none"/>
        </w:rPr>
      </w:pPr>
      <w:r>
        <w:rPr>
          <w:rFonts w:hint="eastAsia"/>
          <w:color w:val="000000"/>
          <w:sz w:val="18"/>
          <w:szCs w:val="18"/>
          <w:highlight w:val="none"/>
        </w:rPr>
        <w:t>本产品预计到期终止日为2030年5月27日</w:t>
      </w:r>
      <w:r>
        <w:rPr>
          <w:rFonts w:hint="eastAsia"/>
          <w:color w:val="000000"/>
          <w:sz w:val="18"/>
          <w:highlight w:val="none"/>
        </w:rPr>
        <w:t>，</w:t>
      </w:r>
      <w:r>
        <w:rPr>
          <w:rFonts w:hint="eastAsia"/>
          <w:sz w:val="18"/>
          <w:szCs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sz w:val="18"/>
          <w:szCs w:val="18"/>
          <w:highlight w:val="none"/>
        </w:rPr>
      </w:pPr>
      <w:r>
        <w:rPr>
          <w:rFonts w:hint="eastAsia"/>
          <w:sz w:val="18"/>
          <w:szCs w:val="18"/>
          <w:highlight w:val="none"/>
          <w:lang w:val="en-US" w:eastAsia="zh-CN"/>
        </w:rPr>
        <w:t>理财计划运作周期到期日收益</w:t>
      </w:r>
      <w:r>
        <w:rPr>
          <w:rFonts w:hint="eastAsia"/>
          <w:sz w:val="18"/>
          <w:szCs w:val="18"/>
          <w:highlight w:val="none"/>
        </w:rPr>
        <w:t>投资者理财收益＝认购/申购份额×投资运作周期到期日理财产品总净值÷理财产品总份额—认购/申购金额。</w:t>
      </w:r>
    </w:p>
    <w:p>
      <w:pPr>
        <w:adjustRightInd w:val="0"/>
        <w:snapToGrid w:val="0"/>
        <w:spacing w:line="286" w:lineRule="auto"/>
        <w:rPr>
          <w:sz w:val="18"/>
          <w:szCs w:val="18"/>
          <w:highlight w:val="none"/>
        </w:rPr>
      </w:pPr>
      <w:r>
        <w:rPr>
          <w:rFonts w:hint="eastAsia"/>
          <w:sz w:val="18"/>
          <w:szCs w:val="18"/>
          <w:highlight w:val="none"/>
        </w:rPr>
        <w:t>注：上述公式中“投资运作周期到期日理财产品总净值”为本理财产品资产在扣除托管费、固定管理费、浮动管理费及税费、其他费用等相关费用后计算产生的理财产品总净值。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温州银行将于运作周期到期日后3个工作日内将投资者理财收益划至投资者账户。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市场变化或波动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r>
        <w:rPr>
          <w:rFonts w:hint="eastAsia"/>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val="en-US" w:eastAsia="zh-CN"/>
        </w:rPr>
        <w:t>（3）根据分配方式，理财收益分为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b/>
          <w:sz w:val="18"/>
          <w:szCs w:val="18"/>
          <w:highlight w:val="none"/>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highlight w:val="none"/>
          <w:lang w:val="en-US"/>
        </w:rPr>
        <w:t>以及</w:t>
      </w:r>
      <w:r>
        <w:rPr>
          <w:rFonts w:hint="eastAsia"/>
          <w:sz w:val="18"/>
          <w:szCs w:val="18"/>
          <w:highlight w:val="none"/>
        </w:rPr>
        <w:t>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lang w:eastAsia="zh-CN"/>
        </w:rPr>
        <w:t>证券市场造成</w:t>
      </w:r>
      <w:r>
        <w:rPr>
          <w:rFonts w:ascii="宋体" w:hAnsi="宋体"/>
          <w:sz w:val="18"/>
          <w:szCs w:val="18"/>
          <w:highlight w:val="none"/>
        </w:rPr>
        <w:t>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lang w:eastAsia="zh-CN"/>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numPr>
          <w:ilvl w:val="0"/>
          <w:numId w:val="4"/>
        </w:numPr>
        <w:adjustRightInd w:val="0"/>
        <w:snapToGrid w:val="0"/>
        <w:spacing w:line="286" w:lineRule="auto"/>
        <w:rPr>
          <w:sz w:val="18"/>
          <w:szCs w:val="18"/>
          <w:highlight w:val="none"/>
        </w:rPr>
      </w:pPr>
      <w:r>
        <w:rPr>
          <w:rFonts w:hint="eastAsia"/>
          <w:sz w:val="18"/>
          <w:szCs w:val="18"/>
          <w:highlight w:val="none"/>
        </w:rPr>
        <w:t>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color w:val="000000"/>
          <w:sz w:val="18"/>
          <w:szCs w:val="18"/>
          <w:highlight w:val="none"/>
        </w:rPr>
        <w:t>（3）《温州银行“金鹿理财-温盈”20051号开放式净值型银行理财计划风险揭示书》、《温州银行理财计划合约》、《温州银行“金鹿理财-温盈”20051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highlight w:val="none"/>
        </w:rPr>
      </w:pP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p>
      <w:pPr>
        <w:spacing w:line="372" w:lineRule="auto"/>
        <w:rPr>
          <w:rFonts w:ascii="黑体" w:eastAsia="黑体"/>
          <w:sz w:val="30"/>
          <w:szCs w:val="30"/>
          <w:highlight w:val="none"/>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g/NRDeCXX8DOiSX3Bbs7x+g3+88=" w:salt="qljH93yrrx++N9jxI2q7p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29F14F3"/>
    <w:rsid w:val="03241F4C"/>
    <w:rsid w:val="05692ECA"/>
    <w:rsid w:val="06AF5062"/>
    <w:rsid w:val="07B535DA"/>
    <w:rsid w:val="07EC55A4"/>
    <w:rsid w:val="08294507"/>
    <w:rsid w:val="0AB363EF"/>
    <w:rsid w:val="0CEF7946"/>
    <w:rsid w:val="0D055C57"/>
    <w:rsid w:val="0E697CA7"/>
    <w:rsid w:val="0EAA68C9"/>
    <w:rsid w:val="0F1A3EC9"/>
    <w:rsid w:val="0F3A26CB"/>
    <w:rsid w:val="10474F4D"/>
    <w:rsid w:val="10D46D68"/>
    <w:rsid w:val="110A015B"/>
    <w:rsid w:val="11AD367A"/>
    <w:rsid w:val="11FC6491"/>
    <w:rsid w:val="126D7BD7"/>
    <w:rsid w:val="12AF54F8"/>
    <w:rsid w:val="12C37B94"/>
    <w:rsid w:val="12C50DEC"/>
    <w:rsid w:val="15217A25"/>
    <w:rsid w:val="15BD1CB8"/>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1D060D6"/>
    <w:rsid w:val="228F020A"/>
    <w:rsid w:val="243D7238"/>
    <w:rsid w:val="25385D7F"/>
    <w:rsid w:val="25D455A1"/>
    <w:rsid w:val="26004320"/>
    <w:rsid w:val="284D2E1D"/>
    <w:rsid w:val="285844AB"/>
    <w:rsid w:val="29E93B84"/>
    <w:rsid w:val="2DC35A21"/>
    <w:rsid w:val="2F9C0B2A"/>
    <w:rsid w:val="2FDE6441"/>
    <w:rsid w:val="30633262"/>
    <w:rsid w:val="306F7311"/>
    <w:rsid w:val="30AB0CE7"/>
    <w:rsid w:val="31253F01"/>
    <w:rsid w:val="327E6664"/>
    <w:rsid w:val="33157C11"/>
    <w:rsid w:val="34B42407"/>
    <w:rsid w:val="35270B41"/>
    <w:rsid w:val="353E2A70"/>
    <w:rsid w:val="35EA1207"/>
    <w:rsid w:val="366C33D7"/>
    <w:rsid w:val="36E42715"/>
    <w:rsid w:val="37965442"/>
    <w:rsid w:val="382F302B"/>
    <w:rsid w:val="38747519"/>
    <w:rsid w:val="388E3C7C"/>
    <w:rsid w:val="38E45900"/>
    <w:rsid w:val="39C8686F"/>
    <w:rsid w:val="3A4851EE"/>
    <w:rsid w:val="3A770E22"/>
    <w:rsid w:val="3B090C09"/>
    <w:rsid w:val="3BE35F9B"/>
    <w:rsid w:val="3D231C22"/>
    <w:rsid w:val="3E113873"/>
    <w:rsid w:val="3EF0533E"/>
    <w:rsid w:val="3F063D4E"/>
    <w:rsid w:val="3FC979F3"/>
    <w:rsid w:val="40076C80"/>
    <w:rsid w:val="4026664B"/>
    <w:rsid w:val="421B7FF4"/>
    <w:rsid w:val="42526821"/>
    <w:rsid w:val="4275406E"/>
    <w:rsid w:val="42A87CFF"/>
    <w:rsid w:val="43B55CF6"/>
    <w:rsid w:val="47643176"/>
    <w:rsid w:val="47F32BE2"/>
    <w:rsid w:val="496F6480"/>
    <w:rsid w:val="497C717E"/>
    <w:rsid w:val="49815F2A"/>
    <w:rsid w:val="49C633C6"/>
    <w:rsid w:val="4A2E173D"/>
    <w:rsid w:val="4ABC78E8"/>
    <w:rsid w:val="4BDD7CC5"/>
    <w:rsid w:val="4C26757B"/>
    <w:rsid w:val="4C4B4443"/>
    <w:rsid w:val="4C8807EB"/>
    <w:rsid w:val="4DB8714F"/>
    <w:rsid w:val="4DF26BF1"/>
    <w:rsid w:val="4ED34292"/>
    <w:rsid w:val="4FC865FE"/>
    <w:rsid w:val="51FA7F99"/>
    <w:rsid w:val="524916E3"/>
    <w:rsid w:val="52544188"/>
    <w:rsid w:val="53EB39EC"/>
    <w:rsid w:val="55312E83"/>
    <w:rsid w:val="55CE1987"/>
    <w:rsid w:val="55EF3F6F"/>
    <w:rsid w:val="576363EF"/>
    <w:rsid w:val="58780E48"/>
    <w:rsid w:val="588714B8"/>
    <w:rsid w:val="58E62499"/>
    <w:rsid w:val="59647D3E"/>
    <w:rsid w:val="597C685E"/>
    <w:rsid w:val="5A250F91"/>
    <w:rsid w:val="5A6516AD"/>
    <w:rsid w:val="5B8F5673"/>
    <w:rsid w:val="5CC812FA"/>
    <w:rsid w:val="5CCC65F5"/>
    <w:rsid w:val="5DA417E6"/>
    <w:rsid w:val="5E821239"/>
    <w:rsid w:val="5F650D3C"/>
    <w:rsid w:val="60675196"/>
    <w:rsid w:val="61AE7F1D"/>
    <w:rsid w:val="637E1589"/>
    <w:rsid w:val="658E5B8D"/>
    <w:rsid w:val="673B772F"/>
    <w:rsid w:val="686A13AA"/>
    <w:rsid w:val="690F109F"/>
    <w:rsid w:val="697F213B"/>
    <w:rsid w:val="6CA0717C"/>
    <w:rsid w:val="6D657193"/>
    <w:rsid w:val="6F0A3BD3"/>
    <w:rsid w:val="72B3716D"/>
    <w:rsid w:val="73E45411"/>
    <w:rsid w:val="74B84FF6"/>
    <w:rsid w:val="74CF1C9F"/>
    <w:rsid w:val="75F7452C"/>
    <w:rsid w:val="769A561B"/>
    <w:rsid w:val="77D232A2"/>
    <w:rsid w:val="78115854"/>
    <w:rsid w:val="78BB101F"/>
    <w:rsid w:val="78EE0575"/>
    <w:rsid w:val="7BDD1E8F"/>
    <w:rsid w:val="7BF13C4F"/>
    <w:rsid w:val="7C69082B"/>
    <w:rsid w:val="7DDE5540"/>
    <w:rsid w:val="7DE500BC"/>
    <w:rsid w:val="7E1750DA"/>
    <w:rsid w:val="7E8B4C0D"/>
    <w:rsid w:val="7F9D7069"/>
    <w:rsid w:val="7FBE7774"/>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unhideWhenUsed/>
    <w:qFormat/>
    <w:uiPriority w:val="99"/>
    <w:pPr>
      <w:jc w:val="left"/>
    </w:pPr>
  </w:style>
  <w:style w:type="paragraph" w:styleId="3">
    <w:name w:val="Balloon Text"/>
    <w:basedOn w:val="1"/>
    <w:link w:val="15"/>
    <w:unhideWhenUsed/>
    <w:qFormat/>
    <w:uiPriority w:val="99"/>
    <w:rPr>
      <w:sz w:val="18"/>
      <w:szCs w:val="18"/>
    </w:rPr>
  </w:style>
  <w:style w:type="paragraph" w:styleId="4">
    <w:name w:val="footer"/>
    <w:basedOn w:val="1"/>
    <w:link w:val="18"/>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7"/>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9"/>
    <w:unhideWhenUsed/>
    <w:qFormat/>
    <w:uiPriority w:val="99"/>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5">
    <w:name w:val="批注框文本 字符"/>
    <w:link w:val="3"/>
    <w:semiHidden/>
    <w:qFormat/>
    <w:uiPriority w:val="99"/>
    <w:rPr>
      <w:rFonts w:ascii="Times New Roman" w:hAnsi="Times New Roman"/>
      <w:kern w:val="2"/>
      <w:sz w:val="18"/>
      <w:szCs w:val="18"/>
    </w:rPr>
  </w:style>
  <w:style w:type="character" w:customStyle="1" w:styleId="16">
    <w:name w:val="批注文字 字符"/>
    <w:link w:val="2"/>
    <w:semiHidden/>
    <w:qFormat/>
    <w:uiPriority w:val="99"/>
    <w:rPr>
      <w:rFonts w:ascii="Times New Roman" w:hAnsi="Times New Roman"/>
      <w:kern w:val="2"/>
      <w:sz w:val="21"/>
    </w:rPr>
  </w:style>
  <w:style w:type="character" w:customStyle="1" w:styleId="17">
    <w:name w:val="页眉 字符"/>
    <w:link w:val="5"/>
    <w:semiHidden/>
    <w:qFormat/>
    <w:uiPriority w:val="99"/>
    <w:rPr>
      <w:sz w:val="18"/>
      <w:szCs w:val="18"/>
    </w:rPr>
  </w:style>
  <w:style w:type="character" w:customStyle="1" w:styleId="18">
    <w:name w:val="页脚 字符"/>
    <w:link w:val="4"/>
    <w:qFormat/>
    <w:uiPriority w:val="99"/>
    <w:rPr>
      <w:sz w:val="18"/>
      <w:szCs w:val="18"/>
    </w:rPr>
  </w:style>
  <w:style w:type="character" w:customStyle="1" w:styleId="19">
    <w:name w:val="批注主题 字符"/>
    <w:link w:val="7"/>
    <w:semiHidden/>
    <w:qFormat/>
    <w:uiPriority w:val="99"/>
    <w:rPr>
      <w:rFonts w:ascii="Times New Roman" w:hAnsi="Times New Roman"/>
      <w:b/>
      <w:bCs/>
      <w:kern w:val="2"/>
      <w:sz w:val="21"/>
    </w:rPr>
  </w:style>
  <w:style w:type="paragraph" w:customStyle="1" w:styleId="20">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13</Pages>
  <Words>1264</Words>
  <Characters>1294</Characters>
  <Lines>133</Lines>
  <Paragraphs>37</Paragraphs>
  <TotalTime>1</TotalTime>
  <ScaleCrop>false</ScaleCrop>
  <LinksUpToDate>false</LinksUpToDate>
  <CharactersWithSpaces>1533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2026-11-06T07:03:59Z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