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19045</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19045</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“金鹿理财-温盈”19045号开放式净值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19045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19045号开放式净值型银行理财计划产品说明书》、《温州银行“金鹿理财-温盈”19045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19045</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温盈”19045号开放式净值型银行理财计划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19045</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C1092219000471</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2019年12月19日</w:t>
            </w:r>
            <w:r>
              <w:rPr>
                <w:rFonts w:hint="eastAsia"/>
                <w:sz w:val="18"/>
                <w:szCs w:val="18"/>
                <w:u w:val="single"/>
              </w:rPr>
              <w:t>至</w:t>
            </w:r>
            <w:r>
              <w:rPr>
                <w:rFonts w:hint="eastAsia"/>
                <w:color w:val="000000"/>
                <w:sz w:val="18"/>
                <w:szCs w:val="18"/>
                <w:u w:val="single"/>
                <w:lang w:val="en-US" w:eastAsia="zh-CN"/>
              </w:rPr>
              <w:t>2019年12月24日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首个投资运作周期的业绩比较基准为4.60%（年化）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本理财计划成立日为2019年12月25日。温州银行有权根据实际募集情况选择产品提前成立，若温州银行采取以上措施，温州银行将就产品相应要素的调整事宜于提前成立日前的一个工作日在温州银行网站予以公告。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《温州银行“金鹿理财-温盈”19045号开放式净值型（第i期）银行理财计划开放认购（申购）申请书》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2.10%-2.40%</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2026年2月9日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《温州银行“金鹿理财-温盈”19045号开放式净值型（第i期）银行理财计划开放认购（申购）申请书》。投资运作周期到期时，该周期内的资金收益情况根据所投资资产组合的实际运作情况确定。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：本理财计划成立日为2019年12月25日，从成立日起，每</w:t>
      </w:r>
      <w:r>
        <w:rPr>
          <w:rFonts w:ascii="宋体" w:hAnsi="宋体"/>
          <w:sz w:val="18"/>
          <w:highlight w:val="none"/>
        </w:rPr>
        <w:t>【</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本产品预计到期终止日为2029年12月25日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19045号开放式净值型银行理财计划风险揭示书》、《温州银行理财计划合约》、《温州银行“金鹿理财-温盈”19045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9cXhOf3qow6sX1oWyE+ORqIUJA8=" w:salt="2sbuqQJWh5jXzQDWXvONZ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CD78DE"/>
    <w:rsid w:val="4BDD7CC5"/>
    <w:rsid w:val="4C26757B"/>
    <w:rsid w:val="4C4B4443"/>
    <w:rsid w:val="4C8807EB"/>
    <w:rsid w:val="4DF26BF1"/>
    <w:rsid w:val="4ED34292"/>
    <w:rsid w:val="4FC865FE"/>
    <w:rsid w:val="51FA7F99"/>
    <w:rsid w:val="524916E3"/>
    <w:rsid w:val="52544188"/>
    <w:rsid w:val="53EB39EC"/>
    <w:rsid w:val="55312E83"/>
    <w:rsid w:val="55CE1987"/>
    <w:rsid w:val="55DD32D7"/>
    <w:rsid w:val="55EF3F6F"/>
    <w:rsid w:val="576363EF"/>
    <w:rsid w:val="58780E48"/>
    <w:rsid w:val="588714B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1264</Words>
  <Characters>1294</Characters>
  <Lines>133</Lines>
  <Paragraphs>37</Paragraphs>
  <TotalTime>0</TotalTime>
  <ScaleCrop>false</ScaleCrop>
  <LinksUpToDate>false</LinksUpToDate>
  <CharactersWithSpaces>1533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2026-11-06T06:49:48Z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