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r>
        <w:rPr>
          <w:rFonts w:hint="eastAsia" w:ascii="黑体" w:eastAsia="黑体"/>
          <w:sz w:val="30"/>
          <w:szCs w:val="30"/>
          <w:highlight w:val="none"/>
        </w:rPr>
        <w:t>温州银行“</w:t>
      </w:r>
      <w:r>
        <w:rPr>
          <w:rFonts w:hint="eastAsia" w:ascii="黑体" w:eastAsia="黑体"/>
          <w:sz w:val="30"/>
          <w:szCs w:val="30"/>
          <w:highlight w:val="none"/>
          <w:lang w:eastAsia="zh-CN"/>
        </w:rPr>
        <w:t>温银理财</w:t>
      </w:r>
      <w:r>
        <w:rPr>
          <w:rFonts w:hint="eastAsia" w:ascii="黑体" w:eastAsia="黑体"/>
          <w:sz w:val="30"/>
          <w:szCs w:val="30"/>
          <w:highlight w:val="none"/>
        </w:rPr>
        <w:t>-普惠季享”</w:t>
      </w:r>
      <w:r>
        <w:rPr>
          <w:rFonts w:ascii="黑体" w:eastAsia="黑体"/>
          <w:color w:val="000000"/>
          <w:sz w:val="30"/>
          <w:szCs w:val="30"/>
          <w:highlight w:val="none"/>
          <w:u w:val="single"/>
        </w:rPr>
        <w:t>26026</w:t>
      </w:r>
      <w:r>
        <w:rPr>
          <w:rFonts w:hint="eastAsia" w:ascii="黑体" w:eastAsia="黑体"/>
          <w:sz w:val="30"/>
          <w:szCs w:val="30"/>
          <w:highlight w:val="none"/>
        </w:rPr>
        <w:t>号（共同富裕特别款）</w:t>
      </w:r>
    </w:p>
    <w:p>
      <w:pPr>
        <w:spacing w:line="372" w:lineRule="auto"/>
        <w:jc w:val="center"/>
        <w:rPr>
          <w:rFonts w:ascii="宋体" w:hAnsi="宋体"/>
          <w:sz w:val="30"/>
          <w:szCs w:val="30"/>
          <w:highlight w:val="none"/>
        </w:rPr>
      </w:pPr>
      <w:r>
        <w:rPr>
          <w:rFonts w:hint="eastAsia" w:ascii="黑体" w:eastAsia="黑体"/>
          <w:sz w:val="30"/>
          <w:szCs w:val="30"/>
          <w:highlight w:val="none"/>
        </w:rPr>
        <w:t>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w:t>
      </w:r>
      <w:r>
        <w:rPr>
          <w:rFonts w:hint="eastAsia"/>
          <w:szCs w:val="21"/>
          <w:highlight w:val="none"/>
          <w:lang w:eastAsia="zh-CN"/>
        </w:rPr>
        <w:t>温银理财</w:t>
      </w:r>
      <w:r>
        <w:rPr>
          <w:rFonts w:hint="eastAsia" w:ascii="宋体" w:hAnsi="宋体"/>
          <w:szCs w:val="21"/>
          <w:highlight w:val="none"/>
        </w:rPr>
        <w:t>-</w:t>
      </w:r>
      <w:r>
        <w:rPr>
          <w:rFonts w:hint="eastAsia"/>
          <w:szCs w:val="21"/>
          <w:highlight w:val="none"/>
        </w:rPr>
        <w:t>普惠季享”</w:t>
      </w:r>
      <w:r>
        <w:rPr>
          <w:color w:val="000000"/>
          <w:szCs w:val="21"/>
          <w:highlight w:val="none"/>
          <w:u w:val="single"/>
        </w:rPr>
        <w:t>26026</w:t>
      </w:r>
      <w:r>
        <w:rPr>
          <w:rFonts w:hint="eastAsia"/>
          <w:szCs w:val="21"/>
          <w:highlight w:val="none"/>
        </w:rPr>
        <w:t>号（共同富裕特别款）银行理财计划，投资类型属于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u w:val="single"/>
          <w:lang w:val="en-US" w:eastAsia="zh-CN"/>
        </w:rPr>
        <w:t>118</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w:t>
      </w:r>
      <w:bookmarkStart w:id="0" w:name="_GoBack"/>
      <w:bookmarkEnd w:id="0"/>
      <w:r>
        <w:rPr>
          <w:rFonts w:hint="eastAsia" w:ascii="宋体" w:hAnsi="宋体"/>
          <w:szCs w:val="21"/>
          <w:highlight w:val="none"/>
        </w:rPr>
        <w:t>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w:t>
      </w:r>
      <w:r>
        <w:rPr>
          <w:rFonts w:hint="eastAsia" w:ascii="宋体" w:hAnsi="宋体"/>
          <w:szCs w:val="21"/>
          <w:highlight w:val="none"/>
          <w:lang w:eastAsia="zh-CN"/>
        </w:rPr>
        <w:t>温银理财</w:t>
      </w:r>
      <w:r>
        <w:rPr>
          <w:rFonts w:hint="eastAsia" w:ascii="宋体" w:hAnsi="宋体"/>
          <w:szCs w:val="21"/>
          <w:highlight w:val="none"/>
        </w:rPr>
        <w:t>-普惠季享”</w:t>
      </w:r>
      <w:r>
        <w:rPr>
          <w:rFonts w:ascii="宋体"/>
          <w:color w:val="000000"/>
          <w:szCs w:val="21"/>
          <w:highlight w:val="none"/>
          <w:u w:val="single"/>
        </w:rPr>
        <w:t>26026</w:t>
      </w:r>
      <w:r>
        <w:rPr>
          <w:rFonts w:hint="eastAsia" w:ascii="宋体" w:hAnsi="宋体"/>
          <w:szCs w:val="21"/>
          <w:highlight w:val="none"/>
        </w:rPr>
        <w:t>号</w:t>
      </w:r>
      <w:r>
        <w:rPr>
          <w:rFonts w:hint="eastAsia"/>
          <w:szCs w:val="21"/>
          <w:highlight w:val="none"/>
        </w:rPr>
        <w:t>（共同富裕特别款）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银行理财计划合约》、《温州银行“</w:t>
      </w:r>
      <w:r>
        <w:rPr>
          <w:rFonts w:hint="eastAsia" w:ascii="宋体" w:hAnsi="宋体"/>
          <w:szCs w:val="21"/>
          <w:highlight w:val="none"/>
          <w:lang w:eastAsia="zh-CN"/>
        </w:rPr>
        <w:t>温银理财</w:t>
      </w:r>
      <w:r>
        <w:rPr>
          <w:rFonts w:hint="eastAsia" w:ascii="宋体" w:hAnsi="宋体"/>
          <w:szCs w:val="21"/>
          <w:highlight w:val="none"/>
        </w:rPr>
        <w:t>-普惠季享”</w:t>
      </w:r>
      <w:r>
        <w:rPr>
          <w:rFonts w:ascii="宋体"/>
          <w:color w:val="000000"/>
          <w:szCs w:val="21"/>
          <w:highlight w:val="none"/>
          <w:u w:val="single"/>
        </w:rPr>
        <w:t>26026</w:t>
      </w:r>
      <w:r>
        <w:rPr>
          <w:rFonts w:hint="eastAsia" w:ascii="宋体" w:hAnsi="宋体"/>
          <w:szCs w:val="21"/>
          <w:highlight w:val="none"/>
        </w:rPr>
        <w:t>号</w:t>
      </w:r>
      <w:r>
        <w:rPr>
          <w:rFonts w:hint="eastAsia"/>
          <w:szCs w:val="21"/>
          <w:highlight w:val="none"/>
        </w:rPr>
        <w:t>（共同富裕特别款）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20"/>
        <w:adjustRightInd w:val="0"/>
        <w:snapToGrid w:val="0"/>
        <w:spacing w:before="0" w:beforeAutospacing="0" w:after="0" w:afterAutospacing="0" w:line="360" w:lineRule="auto"/>
        <w:jc w:val="center"/>
        <w:rPr>
          <w:rFonts w:ascii="黑体" w:eastAsia="黑体"/>
          <w:bCs/>
          <w:sz w:val="30"/>
          <w:szCs w:val="30"/>
          <w:highlight w:val="none"/>
        </w:rPr>
      </w:pPr>
    </w:p>
    <w:p>
      <w:pPr>
        <w:adjustRightInd w:val="0"/>
        <w:snapToGrid w:val="0"/>
        <w:spacing w:before="0" w:beforeAutospacing="0" w:after="0" w:afterAutospacing="0" w:line="360" w:lineRule="auto"/>
        <w:jc w:val="center"/>
        <w:rPr>
          <w:rFonts w:hint="eastAsia" w:ascii="黑体" w:eastAsia="黑体"/>
          <w:bCs/>
          <w:sz w:val="30"/>
          <w:szCs w:val="30"/>
          <w:highlight w:val="none"/>
        </w:rPr>
      </w:pPr>
      <w:r>
        <w:rPr>
          <w:rFonts w:hint="eastAsia" w:ascii="黑体" w:eastAsia="黑体"/>
          <w:bCs/>
          <w:sz w:val="30"/>
          <w:szCs w:val="30"/>
          <w:highlight w:val="none"/>
        </w:rPr>
        <w:br w:type="page"/>
      </w:r>
    </w:p>
    <w:p>
      <w:pPr>
        <w:pStyle w:val="20"/>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w:t>
      </w:r>
      <w:r>
        <w:rPr>
          <w:rFonts w:hint="eastAsia" w:ascii="黑体" w:eastAsia="黑体"/>
          <w:bCs/>
          <w:sz w:val="30"/>
          <w:szCs w:val="30"/>
          <w:highlight w:val="none"/>
          <w:lang w:eastAsia="zh-CN"/>
        </w:rPr>
        <w:t>温银理财</w:t>
      </w:r>
      <w:r>
        <w:rPr>
          <w:rFonts w:hint="eastAsia" w:ascii="黑体" w:eastAsia="黑体"/>
          <w:bCs/>
          <w:sz w:val="30"/>
          <w:szCs w:val="30"/>
          <w:highlight w:val="none"/>
        </w:rPr>
        <w:t>-普惠季享”</w:t>
      </w:r>
      <w:r>
        <w:rPr>
          <w:rFonts w:ascii="黑体" w:eastAsia="黑体"/>
          <w:color w:val="000000"/>
          <w:sz w:val="30"/>
          <w:szCs w:val="30"/>
          <w:highlight w:val="none"/>
          <w:u w:val="single"/>
        </w:rPr>
        <w:t>26026</w:t>
      </w:r>
      <w:r>
        <w:rPr>
          <w:rFonts w:hint="eastAsia" w:ascii="黑体" w:eastAsia="黑体"/>
          <w:bCs/>
          <w:sz w:val="30"/>
          <w:szCs w:val="30"/>
          <w:highlight w:val="none"/>
        </w:rPr>
        <w:t>号（共同富裕特别款）</w:t>
      </w:r>
    </w:p>
    <w:p>
      <w:pPr>
        <w:pStyle w:val="20"/>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sz w:val="18"/>
          <w:szCs w:val="18"/>
          <w:highlight w:val="none"/>
        </w:rPr>
      </w:pPr>
      <w:r>
        <w:rPr>
          <w:rFonts w:hint="eastAsia"/>
          <w:sz w:val="18"/>
          <w:szCs w:val="18"/>
          <w:highlight w:val="none"/>
        </w:rPr>
        <w:t>本产品适合于经温州银行评估为稳健型、平衡型、进取型、激进型的个人投资者。</w:t>
      </w:r>
    </w:p>
    <w:p>
      <w:pPr>
        <w:adjustRightInd w:val="0"/>
        <w:snapToGrid w:val="0"/>
        <w:spacing w:line="300"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w:t>
      </w:r>
      <w:r>
        <w:rPr>
          <w:rFonts w:hint="eastAsia"/>
          <w:sz w:val="18"/>
          <w:szCs w:val="18"/>
          <w:highlight w:val="none"/>
          <w:lang w:eastAsia="zh-CN"/>
        </w:rPr>
        <w:t>温银理财</w:t>
      </w:r>
      <w:r>
        <w:rPr>
          <w:rFonts w:hint="eastAsia" w:ascii="宋体" w:hAnsi="宋体"/>
          <w:sz w:val="18"/>
          <w:szCs w:val="18"/>
          <w:highlight w:val="none"/>
        </w:rPr>
        <w:t>-</w:t>
      </w:r>
      <w:r>
        <w:rPr>
          <w:rFonts w:hint="eastAsia"/>
          <w:sz w:val="18"/>
          <w:szCs w:val="18"/>
          <w:highlight w:val="none"/>
        </w:rPr>
        <w:t>普惠季享”</w:t>
      </w:r>
      <w:r>
        <w:rPr>
          <w:color w:val="000000"/>
          <w:sz w:val="18"/>
          <w:szCs w:val="18"/>
          <w:highlight w:val="none"/>
        </w:rPr>
        <w:t>26026</w:t>
      </w:r>
      <w:r>
        <w:rPr>
          <w:rFonts w:hint="eastAsia"/>
          <w:sz w:val="18"/>
          <w:szCs w:val="18"/>
          <w:highlight w:val="none"/>
        </w:rPr>
        <w:t>号（共同富裕特别款）银行理财计划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9"/>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lang w:eastAsia="zh-CN"/>
              </w:rPr>
              <w:t>温银理财</w:t>
            </w:r>
            <w:r>
              <w:rPr>
                <w:sz w:val="18"/>
                <w:szCs w:val="18"/>
                <w:highlight w:val="none"/>
              </w:rPr>
              <w:t>-</w:t>
            </w:r>
            <w:r>
              <w:rPr>
                <w:rFonts w:hint="eastAsia"/>
                <w:sz w:val="18"/>
                <w:szCs w:val="18"/>
                <w:highlight w:val="none"/>
              </w:rPr>
              <w:t>普惠季享</w:t>
            </w:r>
            <w:r>
              <w:rPr>
                <w:sz w:val="18"/>
                <w:szCs w:val="18"/>
                <w:highlight w:val="none"/>
              </w:rPr>
              <w:t>”</w:t>
            </w:r>
            <w:r>
              <w:rPr>
                <w:color w:val="000000"/>
                <w:sz w:val="18"/>
                <w:szCs w:val="18"/>
                <w:highlight w:val="none"/>
                <w:u w:val="single"/>
              </w:rPr>
              <w:t>26026</w:t>
            </w:r>
            <w:r>
              <w:rPr>
                <w:sz w:val="18"/>
                <w:szCs w:val="18"/>
                <w:highlight w:val="none"/>
              </w:rPr>
              <w:t>号</w:t>
            </w:r>
            <w:r>
              <w:rPr>
                <w:rFonts w:hint="eastAsia"/>
                <w:sz w:val="18"/>
                <w:szCs w:val="18"/>
                <w:highlight w:val="none"/>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color w:val="000000"/>
                <w:sz w:val="18"/>
                <w:szCs w:val="18"/>
                <w:highlight w:val="none"/>
              </w:rPr>
              <w:t>JX2626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color w:val="000000"/>
                <w:sz w:val="18"/>
                <w:szCs w:val="18"/>
                <w:highlight w:val="none"/>
              </w:rPr>
              <w:t>C1092226000058</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u w:val="single"/>
                <w:lang w:val="en-US" w:eastAsia="zh-CN"/>
              </w:rPr>
              <w:t>118</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nil"/>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nil"/>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发售规模不超过10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u w:val="single"/>
              </w:rPr>
            </w:pPr>
            <w:r>
              <w:rPr>
                <w:color w:val="000000"/>
                <w:sz w:val="18"/>
                <w:highlight w:val="none"/>
                <w:u w:val="single"/>
              </w:rPr>
              <w:t>2026年11月3日</w:t>
            </w:r>
            <w:r>
              <w:rPr>
                <w:rFonts w:hint="eastAsia"/>
                <w:sz w:val="18"/>
                <w:highlight w:val="none"/>
                <w:u w:val="single"/>
              </w:rPr>
              <w:t>至</w:t>
            </w:r>
            <w:r>
              <w:rPr>
                <w:color w:val="000000"/>
                <w:sz w:val="18"/>
                <w:highlight w:val="none"/>
                <w:u w:val="single"/>
              </w:rPr>
              <w:t>2026年11月9日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u w:val="single"/>
              </w:rPr>
            </w:pPr>
            <w:r>
              <w:rPr>
                <w:rFonts w:hint="eastAsia"/>
                <w:color w:val="000000"/>
                <w:sz w:val="18"/>
                <w:szCs w:val="18"/>
                <w:u w:val="single"/>
                <w:lang w:val="en-US" w:eastAsia="zh-CN"/>
              </w:rPr>
              <w:t>2026年11月10日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highlight w:val="none"/>
                <w:u w:val="single"/>
              </w:rPr>
            </w:pPr>
            <w:r>
              <w:rPr>
                <w:rFonts w:hint="eastAsia"/>
                <w:color w:val="000000"/>
                <w:sz w:val="18"/>
                <w:szCs w:val="24"/>
                <w:u w:val="single"/>
                <w:lang w:val="en-US" w:eastAsia="zh-CN"/>
              </w:rPr>
              <w:t>2027年3月8日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lang w:val="en-US" w:eastAsia="zh-CN"/>
              </w:rPr>
              <w:t>2.10%</w:t>
            </w:r>
            <w:r>
              <w:rPr>
                <w:rFonts w:hint="eastAsia"/>
                <w:sz w:val="18"/>
                <w:szCs w:val="18"/>
                <w:highlight w:val="none"/>
              </w:rPr>
              <w:t>（年化）</w:t>
            </w:r>
          </w:p>
          <w:p>
            <w:pPr>
              <w:adjustRightInd w:val="0"/>
              <w:snapToGrid w:val="0"/>
              <w:spacing w:line="288" w:lineRule="auto"/>
              <w:jc w:val="left"/>
              <w:rPr>
                <w:sz w:val="18"/>
                <w:szCs w:val="18"/>
                <w:highlight w:val="none"/>
              </w:rPr>
            </w:pPr>
            <w:r>
              <w:rPr>
                <w:rFonts w:hint="eastAsia"/>
                <w:sz w:val="18"/>
                <w:szCs w:val="18"/>
                <w:highlight w:val="none"/>
              </w:rPr>
              <w:t>本产品为净值型理财产品，其业绩表现将随市场波动具有不确定性。</w:t>
            </w:r>
            <w:r>
              <w:rPr>
                <w:rFonts w:hint="eastAsia"/>
                <w:b/>
                <w:bCs/>
                <w:sz w:val="18"/>
                <w:szCs w:val="18"/>
                <w:highlight w:val="none"/>
              </w:rPr>
              <w:t>业绩比较基准/过往业绩不是预期收益率，不代表产品的未来表现和实际收益，不构成对产品收益的承诺。</w:t>
            </w:r>
            <w:r>
              <w:rPr>
                <w:rFonts w:hint="eastAsia"/>
                <w:sz w:val="18"/>
                <w:szCs w:val="18"/>
                <w:highlight w:val="none"/>
              </w:rPr>
              <w:t>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ascii="宋体" w:hAnsi="宋体"/>
                <w:sz w:val="18"/>
                <w:highlight w:val="none"/>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highlight w:val="none"/>
                <w:lang w:eastAsia="zh-CN"/>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ascii="宋体" w:hAnsi="宋体"/>
                <w:sz w:val="18"/>
                <w:highlight w:val="none"/>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温州银行将在温州银行官方网站或电子银行等信息平台定期披露产品资产净值、份额净值</w:t>
            </w:r>
            <w:r>
              <w:rPr>
                <w:rFonts w:hint="eastAsia"/>
                <w:sz w:val="18"/>
                <w:szCs w:val="18"/>
                <w:highlight w:val="none"/>
                <w:lang w:eastAsia="zh-CN"/>
              </w:rPr>
              <w:t>、</w:t>
            </w:r>
            <w:r>
              <w:rPr>
                <w:rFonts w:hint="eastAsia"/>
                <w:sz w:val="18"/>
                <w:szCs w:val="18"/>
                <w:highlight w:val="none"/>
                <w:lang w:val="en-US" w:eastAsia="zh-CN"/>
              </w:rPr>
              <w:t>份额累计净值</w:t>
            </w:r>
            <w:r>
              <w:rPr>
                <w:rFonts w:hint="eastAsia"/>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highlight w:val="none"/>
                <w:lang w:val="en-US" w:eastAsia="zh-CN"/>
              </w:rPr>
            </w:pPr>
            <w:r>
              <w:rPr>
                <w:rFonts w:hint="eastAsia"/>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lang w:val="en-US" w:eastAsia="zh-CN"/>
              </w:rPr>
              <w:t>指除国家法定节假日和公休日外的其他日期。</w:t>
            </w:r>
            <w:r>
              <w:rPr>
                <w:rFonts w:hint="eastAsia"/>
                <w:sz w:val="18"/>
                <w:szCs w:val="18"/>
                <w:highlight w:val="none"/>
              </w:rPr>
              <w:t>本理财产品说明书所述之日期如遇</w:t>
            </w:r>
            <w:r>
              <w:rPr>
                <w:rFonts w:hint="eastAsia"/>
                <w:sz w:val="18"/>
                <w:szCs w:val="18"/>
                <w:highlight w:val="none"/>
                <w:lang w:val="en-US" w:eastAsia="zh-CN"/>
              </w:rPr>
              <w:t>非工作日</w:t>
            </w:r>
            <w:r>
              <w:rPr>
                <w:rFonts w:hint="eastAsia"/>
                <w:sz w:val="18"/>
                <w:szCs w:val="18"/>
                <w:highlight w:val="none"/>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w:t>
            </w:r>
            <w:r>
              <w:rPr>
                <w:rFonts w:hint="eastAsia"/>
                <w:sz w:val="18"/>
                <w:szCs w:val="18"/>
                <w:highlight w:val="none"/>
                <w:lang w:val="en-US" w:eastAsia="zh-CN"/>
              </w:rPr>
              <w:t>资金</w:t>
            </w:r>
            <w:r>
              <w:rPr>
                <w:rFonts w:hint="eastAsia"/>
                <w:sz w:val="18"/>
                <w:szCs w:val="18"/>
                <w:highlight w:val="none"/>
              </w:rPr>
              <w:t>清算期，</w:t>
            </w:r>
            <w:r>
              <w:rPr>
                <w:rFonts w:hint="eastAsia"/>
                <w:sz w:val="18"/>
                <w:szCs w:val="18"/>
                <w:highlight w:val="none"/>
                <w:lang w:val="en-US" w:eastAsia="zh-CN"/>
              </w:rPr>
              <w:t>资金</w:t>
            </w:r>
            <w:r>
              <w:rPr>
                <w:rFonts w:hint="eastAsia"/>
                <w:sz w:val="18"/>
                <w:szCs w:val="18"/>
                <w:highlight w:val="none"/>
              </w:rPr>
              <w:t>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9"/>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本产品采用安全性和流动性优先、追求适度收益的投资策略。本理财产品计划将不低于7</w:t>
      </w:r>
      <w:r>
        <w:rPr>
          <w:sz w:val="18"/>
          <w:szCs w:val="18"/>
          <w:highlight w:val="none"/>
        </w:rPr>
        <w:t>0</w:t>
      </w:r>
      <w:r>
        <w:rPr>
          <w:rFonts w:hint="eastAsia"/>
          <w:sz w:val="18"/>
          <w:szCs w:val="18"/>
          <w:highlight w:val="none"/>
        </w:rPr>
        <w:t>%的债权类资产投资于浙江省内优质资产，助力浙江高质量发展建设共同富裕示范区。</w:t>
      </w:r>
    </w:p>
    <w:p>
      <w:pPr>
        <w:adjustRightInd w:val="0"/>
        <w:snapToGrid w:val="0"/>
        <w:spacing w:line="286" w:lineRule="auto"/>
        <w:rPr>
          <w:rFonts w:hint="eastAsia"/>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eastAsia"/>
                <w:sz w:val="18"/>
                <w:szCs w:val="18"/>
                <w:highlight w:val="none"/>
                <w:vertAlign w:val="baseline"/>
                <w:lang w:eastAsia="zh-CN"/>
              </w:rPr>
            </w:pPr>
          </w:p>
        </w:tc>
        <w:tc>
          <w:tcPr>
            <w:tcW w:w="2500" w:type="pct"/>
          </w:tcPr>
          <w:p>
            <w:pPr>
              <w:adjustRightInd w:val="0"/>
              <w:snapToGrid w:val="0"/>
              <w:spacing w:line="286" w:lineRule="auto"/>
              <w:rPr>
                <w:rFonts w:hint="eastAsia"/>
                <w:sz w:val="18"/>
                <w:szCs w:val="18"/>
                <w:highlight w:val="none"/>
                <w:vertAlign w:val="baseline"/>
                <w:lang w:eastAsia="zh-CN"/>
              </w:rPr>
            </w:pP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中国广东省深圳市福田区深南大道7088号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r>
        <w:rPr>
          <w:rFonts w:hint="eastAsia"/>
          <w:b/>
          <w:bCs/>
          <w:sz w:val="18"/>
          <w:szCs w:val="18"/>
          <w:highlight w:val="none"/>
        </w:rPr>
        <w:t>投资合作机构</w:t>
      </w:r>
    </w:p>
    <w:p>
      <w:pPr>
        <w:adjustRightInd w:val="0"/>
        <w:snapToGrid w:val="0"/>
        <w:spacing w:line="278"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highlight w:val="none"/>
        </w:rPr>
        <w:t>投资者可登录温州银行网站（</w:t>
      </w:r>
      <w:r>
        <w:rPr>
          <w:highlight w:val="none"/>
        </w:rPr>
        <w:fldChar w:fldCharType="begin"/>
      </w:r>
      <w:r>
        <w:rPr>
          <w:highlight w:val="none"/>
        </w:rPr>
        <w:instrText xml:space="preserve"> HYPERLINK "http://www.wzbank.cn" </w:instrText>
      </w:r>
      <w:r>
        <w:rPr>
          <w:highlight w:val="none"/>
        </w:rPr>
        <w:fldChar w:fldCharType="separate"/>
      </w:r>
      <w:r>
        <w:rPr>
          <w:rStyle w:val="22"/>
          <w:rFonts w:hint="eastAsia" w:ascii="宋体" w:hAnsi="宋体"/>
          <w:sz w:val="18"/>
          <w:szCs w:val="18"/>
          <w:highlight w:val="none"/>
        </w:rPr>
        <w:t>www.wzbank.cn</w:t>
      </w:r>
      <w:r>
        <w:rPr>
          <w:rStyle w:val="22"/>
          <w:rFonts w:hint="eastAsia" w:ascii="宋体" w:hAnsi="宋体"/>
          <w:sz w:val="18"/>
          <w:szCs w:val="18"/>
          <w:highlight w:val="none"/>
        </w:rPr>
        <w:fldChar w:fldCharType="end"/>
      </w:r>
      <w:r>
        <w:rPr>
          <w:rFonts w:hint="eastAsia" w:ascii="宋体" w:hAnsi="宋体"/>
          <w:sz w:val="18"/>
          <w:szCs w:val="18"/>
          <w:highlight w:val="none"/>
        </w:rPr>
        <w:t>）查询温州银行理财产品的投资合作机构名单。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b/>
          <w:bCs/>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numPr>
          <w:ilvl w:val="0"/>
          <w:numId w:val="1"/>
        </w:numPr>
        <w:adjustRightInd w:val="0"/>
        <w:snapToGrid w:val="0"/>
        <w:spacing w:line="286" w:lineRule="auto"/>
        <w:rPr>
          <w:sz w:val="18"/>
          <w:szCs w:val="18"/>
          <w:highlight w:val="none"/>
        </w:rPr>
      </w:pPr>
      <w:r>
        <w:rPr>
          <w:rFonts w:hint="eastAsia"/>
          <w:sz w:val="18"/>
          <w:szCs w:val="18"/>
          <w:highlight w:val="none"/>
        </w:rPr>
        <w:t>理财产品投资所涉及的交易市场遇法定节假日或其他原因暂停营业时。</w:t>
      </w:r>
    </w:p>
    <w:p>
      <w:pPr>
        <w:adjustRightInd w:val="0"/>
        <w:snapToGrid w:val="0"/>
        <w:spacing w:line="286" w:lineRule="auto"/>
        <w:rPr>
          <w:b/>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b/>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本产品业绩比较基准为</w:t>
      </w:r>
      <w:r>
        <w:rPr>
          <w:rFonts w:hint="eastAsia"/>
          <w:color w:val="000000"/>
          <w:sz w:val="18"/>
          <w:szCs w:val="18"/>
          <w:lang w:val="en-US" w:eastAsia="zh-CN"/>
        </w:rPr>
        <w:t>2.10%</w:t>
      </w:r>
      <w:r>
        <w:rPr>
          <w:rFonts w:hint="eastAsia"/>
          <w:sz w:val="18"/>
          <w:szCs w:val="18"/>
          <w:highlight w:val="none"/>
        </w:rPr>
        <w:t>（年化）。本产品业绩比较基准仅作为计提产品浮动管理费的依据，不构成温州银行对该理财产品的任何收益承诺。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（1）发生以下情形，管理人可以决定是否拒绝或暂停接受全部或部分投资者的认购申请：</w:t>
      </w:r>
    </w:p>
    <w:p>
      <w:pPr>
        <w:adjustRightInd w:val="0"/>
        <w:snapToGrid w:val="0"/>
        <w:spacing w:line="286" w:lineRule="auto"/>
        <w:rPr>
          <w:sz w:val="18"/>
          <w:szCs w:val="18"/>
          <w:highlight w:val="none"/>
        </w:rPr>
      </w:pPr>
      <w:r>
        <w:rPr>
          <w:rFonts w:hint="eastAsia"/>
          <w:sz w:val="18"/>
          <w:szCs w:val="18"/>
          <w:highlight w:val="none"/>
        </w:rPr>
        <w:t>1）投资者认购超过产品说明书约定的发行规模上限、单笔认/申购上限、单一客户持有上限等。</w:t>
      </w:r>
    </w:p>
    <w:p>
      <w:pPr>
        <w:adjustRightInd w:val="0"/>
        <w:snapToGrid w:val="0"/>
        <w:spacing w:line="286" w:lineRule="auto"/>
        <w:rPr>
          <w:sz w:val="18"/>
          <w:szCs w:val="18"/>
          <w:highlight w:val="none"/>
        </w:rPr>
      </w:pPr>
      <w:r>
        <w:rPr>
          <w:rFonts w:hint="eastAsia"/>
          <w:sz w:val="18"/>
          <w:szCs w:val="18"/>
          <w:highlight w:val="none"/>
        </w:rPr>
        <w:t>2）当管理人接受某笔或者某些认购申请有可能导致单一投资者持有理财计划份额的比例达到或超过50%的情形。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3）法律法规规定或监管机构认定的其他情形。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4、终止（包括到期终止、提前终止、延期终止）</w:t>
      </w:r>
    </w:p>
    <w:p>
      <w:pPr>
        <w:adjustRightInd w:val="0"/>
        <w:snapToGrid w:val="0"/>
        <w:spacing w:line="286" w:lineRule="auto"/>
        <w:rPr>
          <w:sz w:val="18"/>
          <w:szCs w:val="18"/>
          <w:highlight w:val="none"/>
        </w:rPr>
      </w:pPr>
      <w:r>
        <w:rPr>
          <w:rFonts w:hint="eastAsia"/>
          <w:sz w:val="18"/>
          <w:szCs w:val="18"/>
          <w:highlight w:val="none"/>
        </w:rPr>
        <w:t>本产品预计到期终止日为</w:t>
      </w:r>
      <w:r>
        <w:rPr>
          <w:rFonts w:hint="eastAsia"/>
          <w:color w:val="000000"/>
          <w:sz w:val="18"/>
          <w:szCs w:val="18"/>
        </w:rPr>
        <w:t>2027年3月8日</w:t>
      </w:r>
      <w:r>
        <w:rPr>
          <w:rFonts w:hint="eastAsia"/>
          <w:sz w:val="18"/>
          <w:highlight w:val="none"/>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（1）本理财产品到期日（提前/延期终止日）</w:t>
      </w:r>
      <w:r>
        <w:rPr>
          <w:rFonts w:hint="eastAsia"/>
          <w:sz w:val="18"/>
          <w:szCs w:val="18"/>
          <w:highlight w:val="none"/>
          <w:lang w:val="en-US" w:eastAsia="zh-CN"/>
        </w:rPr>
        <w:t>投资者理财收益</w:t>
      </w:r>
      <w:r>
        <w:rPr>
          <w:rFonts w:hint="eastAsia"/>
          <w:sz w:val="18"/>
          <w:szCs w:val="18"/>
          <w:highlight w:val="none"/>
        </w:rPr>
        <w:t>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投资者理财收益＝认购份额×到期日（提前/延期终止日）理财产品单位净值（扣除浮动管理费后）—认购金额。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w:t>
      </w:r>
      <w:r>
        <w:rPr>
          <w:rFonts w:hint="eastAsia"/>
          <w:sz w:val="18"/>
          <w:szCs w:val="18"/>
          <w:lang w:val="en-US" w:eastAsia="zh-CN"/>
        </w:rPr>
        <w:t>8</w:t>
      </w:r>
      <w:r>
        <w:rPr>
          <w:rFonts w:hint="eastAsia"/>
          <w:sz w:val="18"/>
          <w:szCs w:val="18"/>
        </w:rPr>
        <w:t>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%。到期时扣除托管费、销售服务费、固定管理费及其他费用（如有）后，如产品净值为1.007</w:t>
      </w:r>
      <w:r>
        <w:rPr>
          <w:rFonts w:hint="eastAsia"/>
          <w:sz w:val="18"/>
          <w:szCs w:val="18"/>
          <w:lang w:val="en-US" w:eastAsia="zh-CN"/>
        </w:rPr>
        <w:t>3</w:t>
      </w:r>
      <w:r>
        <w:rPr>
          <w:rFonts w:hint="eastAsia"/>
          <w:sz w:val="18"/>
          <w:szCs w:val="18"/>
        </w:rPr>
        <w:t>，此时，(1.007</w:t>
      </w:r>
      <w:r>
        <w:rPr>
          <w:rFonts w:hint="eastAsia"/>
          <w:sz w:val="18"/>
          <w:szCs w:val="18"/>
          <w:lang w:val="en-US" w:eastAsia="zh-CN"/>
        </w:rPr>
        <w:t>3</w:t>
      </w:r>
      <w:r>
        <w:rPr>
          <w:rFonts w:hint="eastAsia"/>
          <w:sz w:val="18"/>
          <w:szCs w:val="18"/>
        </w:rPr>
        <w:t>/1.00-1)×365/11</w:t>
      </w:r>
      <w:r>
        <w:rPr>
          <w:rFonts w:hint="eastAsia"/>
          <w:sz w:val="18"/>
          <w:szCs w:val="18"/>
          <w:lang w:val="en-US" w:eastAsia="zh-CN"/>
        </w:rPr>
        <w:t>8</w:t>
      </w:r>
      <w:r>
        <w:rPr>
          <w:rFonts w:hint="eastAsia"/>
          <w:sz w:val="18"/>
          <w:szCs w:val="18"/>
        </w:rPr>
        <w:t>=2.</w:t>
      </w:r>
      <w:r>
        <w:rPr>
          <w:rFonts w:hint="eastAsia"/>
          <w:sz w:val="18"/>
          <w:szCs w:val="18"/>
          <w:lang w:val="en-US" w:eastAsia="zh-CN"/>
        </w:rPr>
        <w:t>26</w:t>
      </w:r>
      <w:r>
        <w:rPr>
          <w:rFonts w:hint="eastAsia"/>
          <w:sz w:val="18"/>
          <w:szCs w:val="18"/>
        </w:rPr>
        <w:t>%&gt;2.</w:t>
      </w:r>
      <w:r>
        <w:rPr>
          <w:rFonts w:hint="eastAsia"/>
          <w:sz w:val="18"/>
          <w:szCs w:val="18"/>
          <w:lang w:val="en-US" w:eastAsia="zh-CN"/>
        </w:rPr>
        <w:t>1</w:t>
      </w:r>
      <w:r>
        <w:rPr>
          <w:rFonts w:hint="eastAsia"/>
          <w:sz w:val="18"/>
          <w:szCs w:val="18"/>
        </w:rPr>
        <w:t>%，即投资收益超越业绩比较基准，则投资管理人对超过业绩比较基准部分收益收取浮动管理费，浮动管理费为：1,000,000.00×[1.007</w:t>
      </w:r>
      <w:r>
        <w:rPr>
          <w:rFonts w:hint="eastAsia"/>
          <w:sz w:val="18"/>
          <w:szCs w:val="18"/>
          <w:lang w:val="en-US" w:eastAsia="zh-CN"/>
        </w:rPr>
        <w:t>3</w:t>
      </w:r>
      <w:r>
        <w:rPr>
          <w:rFonts w:hint="eastAsia"/>
          <w:sz w:val="18"/>
          <w:szCs w:val="18"/>
        </w:rPr>
        <w:t>-1.00×(1+2.</w:t>
      </w:r>
      <w:r>
        <w:rPr>
          <w:rFonts w:hint="eastAsia"/>
          <w:sz w:val="18"/>
          <w:szCs w:val="18"/>
          <w:lang w:val="en-US" w:eastAsia="zh-CN"/>
        </w:rPr>
        <w:t>1</w:t>
      </w:r>
      <w:r>
        <w:rPr>
          <w:rFonts w:hint="eastAsia"/>
          <w:sz w:val="18"/>
          <w:szCs w:val="18"/>
        </w:rPr>
        <w:t>%×11</w:t>
      </w:r>
      <w:r>
        <w:rPr>
          <w:rFonts w:hint="eastAsia"/>
          <w:sz w:val="18"/>
          <w:szCs w:val="18"/>
          <w:lang w:val="en-US" w:eastAsia="zh-CN"/>
        </w:rPr>
        <w:t>8</w:t>
      </w:r>
      <w:r>
        <w:rPr>
          <w:rFonts w:hint="eastAsia"/>
          <w:sz w:val="18"/>
          <w:szCs w:val="18"/>
        </w:rPr>
        <w:t>/365)]×80%=</w:t>
      </w:r>
      <w:r>
        <w:rPr>
          <w:rFonts w:hint="eastAsia"/>
          <w:sz w:val="18"/>
          <w:szCs w:val="18"/>
          <w:lang w:val="en-US" w:eastAsia="zh-CN"/>
        </w:rPr>
        <w:t>408.77</w:t>
      </w:r>
      <w:r>
        <w:rPr>
          <w:rFonts w:hint="eastAsia"/>
          <w:sz w:val="18"/>
          <w:szCs w:val="18"/>
        </w:rPr>
        <w:t>（元）。扣除浮动管理费后，客户最终收益为：1,000,000.00×（1.007</w:t>
      </w:r>
      <w:r>
        <w:rPr>
          <w:rFonts w:hint="eastAsia"/>
          <w:sz w:val="18"/>
          <w:szCs w:val="18"/>
          <w:lang w:val="en-US" w:eastAsia="zh-CN"/>
        </w:rPr>
        <w:t>3</w:t>
      </w:r>
      <w:r>
        <w:rPr>
          <w:rFonts w:hint="eastAsia"/>
          <w:sz w:val="18"/>
          <w:szCs w:val="18"/>
        </w:rPr>
        <w:t>-1.00）-</w:t>
      </w:r>
      <w:r>
        <w:rPr>
          <w:rFonts w:hint="eastAsia"/>
          <w:sz w:val="18"/>
          <w:szCs w:val="18"/>
          <w:lang w:val="en-US" w:eastAsia="zh-CN"/>
        </w:rPr>
        <w:t>408.77</w:t>
      </w:r>
      <w:r>
        <w:rPr>
          <w:rFonts w:hint="eastAsia"/>
          <w:sz w:val="18"/>
          <w:szCs w:val="18"/>
        </w:rPr>
        <w:t>=</w:t>
      </w:r>
      <w:r>
        <w:rPr>
          <w:rFonts w:hint="eastAsia"/>
          <w:sz w:val="18"/>
          <w:szCs w:val="18"/>
          <w:lang w:val="en-US" w:eastAsia="zh-CN"/>
        </w:rPr>
        <w:t>6891.23</w:t>
      </w:r>
      <w:r>
        <w:rPr>
          <w:rFonts w:hint="eastAsia"/>
          <w:sz w:val="18"/>
          <w:szCs w:val="18"/>
        </w:rPr>
        <w:t>（元），产品到期时，客户获得的实际收益相当于达到年化收益率水平为：</w:t>
      </w:r>
      <w:r>
        <w:rPr>
          <w:rFonts w:hint="eastAsia"/>
          <w:sz w:val="18"/>
          <w:szCs w:val="18"/>
          <w:lang w:val="en-US" w:eastAsia="zh-CN"/>
        </w:rPr>
        <w:t>6891.23</w:t>
      </w:r>
      <w:r>
        <w:rPr>
          <w:rFonts w:hint="eastAsia"/>
          <w:sz w:val="18"/>
          <w:szCs w:val="18"/>
        </w:rPr>
        <w:t>/1,000,000.00×365/11</w:t>
      </w:r>
      <w:r>
        <w:rPr>
          <w:rFonts w:hint="eastAsia"/>
          <w:sz w:val="18"/>
          <w:szCs w:val="18"/>
          <w:lang w:val="en-US" w:eastAsia="zh-CN"/>
        </w:rPr>
        <w:t>8</w:t>
      </w:r>
      <w:r>
        <w:rPr>
          <w:rFonts w:hint="eastAsia"/>
          <w:sz w:val="18"/>
          <w:szCs w:val="18"/>
        </w:rPr>
        <w:t>=2.</w:t>
      </w:r>
      <w:r>
        <w:rPr>
          <w:rFonts w:hint="eastAsia"/>
          <w:sz w:val="18"/>
          <w:szCs w:val="18"/>
          <w:lang w:val="en-US" w:eastAsia="zh-CN"/>
        </w:rPr>
        <w:t>13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w:t>
      </w:r>
      <w:r>
        <w:rPr>
          <w:rFonts w:hint="eastAsia"/>
          <w:sz w:val="18"/>
          <w:szCs w:val="18"/>
          <w:lang w:val="en-US" w:eastAsia="zh-CN"/>
        </w:rPr>
        <w:t>8</w:t>
      </w:r>
      <w:r>
        <w:rPr>
          <w:rFonts w:hint="eastAsia"/>
          <w:sz w:val="18"/>
          <w:szCs w:val="18"/>
        </w:rPr>
        <w:t>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%。到期时扣除托管费、销售服务费、固定管理费及其他费用（如有）后，如产品净值为1.00</w:t>
      </w:r>
      <w:r>
        <w:rPr>
          <w:rFonts w:hint="eastAsia"/>
          <w:sz w:val="18"/>
          <w:szCs w:val="18"/>
          <w:lang w:val="en-US" w:eastAsia="zh-CN"/>
        </w:rPr>
        <w:t>65</w:t>
      </w:r>
      <w:r>
        <w:rPr>
          <w:rFonts w:hint="eastAsia"/>
          <w:sz w:val="18"/>
          <w:szCs w:val="18"/>
        </w:rPr>
        <w:t>，此时，(1.00</w:t>
      </w:r>
      <w:r>
        <w:rPr>
          <w:rFonts w:hint="eastAsia"/>
          <w:sz w:val="18"/>
          <w:szCs w:val="18"/>
          <w:lang w:val="en-US" w:eastAsia="zh-CN"/>
        </w:rPr>
        <w:t>65</w:t>
      </w:r>
      <w:r>
        <w:rPr>
          <w:rFonts w:hint="eastAsia"/>
          <w:sz w:val="18"/>
          <w:szCs w:val="18"/>
        </w:rPr>
        <w:t>/1.00-1)×365/11</w:t>
      </w:r>
      <w:r>
        <w:rPr>
          <w:rFonts w:hint="eastAsia"/>
          <w:sz w:val="18"/>
          <w:szCs w:val="18"/>
          <w:lang w:val="en-US" w:eastAsia="zh-CN"/>
        </w:rPr>
        <w:t>8</w:t>
      </w:r>
      <w:r>
        <w:rPr>
          <w:rFonts w:hint="eastAsia"/>
          <w:sz w:val="18"/>
          <w:szCs w:val="18"/>
        </w:rPr>
        <w:t>=</w:t>
      </w:r>
      <w:r>
        <w:rPr>
          <w:rFonts w:hint="eastAsia"/>
          <w:sz w:val="18"/>
          <w:szCs w:val="18"/>
          <w:lang w:val="en-US" w:eastAsia="zh-CN"/>
        </w:rPr>
        <w:t>2.01</w:t>
      </w:r>
      <w:r>
        <w:rPr>
          <w:rFonts w:hint="eastAsia"/>
          <w:sz w:val="18"/>
          <w:szCs w:val="18"/>
        </w:rPr>
        <w:t>%&lt;2.</w:t>
      </w:r>
      <w:r>
        <w:rPr>
          <w:rFonts w:hint="eastAsia"/>
          <w:sz w:val="18"/>
          <w:szCs w:val="18"/>
          <w:lang w:val="en-US" w:eastAsia="zh-CN"/>
        </w:rPr>
        <w:t>1</w:t>
      </w:r>
      <w:r>
        <w:rPr>
          <w:rFonts w:hint="eastAsia"/>
          <w:sz w:val="18"/>
          <w:szCs w:val="18"/>
        </w:rPr>
        <w:t>%，即投资收益未达到业绩比较基准，则投资管理人不收取浮动管理费，客户最终收益为：1,000,000.00×(1.00</w:t>
      </w:r>
      <w:r>
        <w:rPr>
          <w:rFonts w:hint="eastAsia"/>
          <w:sz w:val="18"/>
          <w:szCs w:val="18"/>
          <w:lang w:val="en-US" w:eastAsia="zh-CN"/>
        </w:rPr>
        <w:t>65</w:t>
      </w:r>
      <w:r>
        <w:rPr>
          <w:rFonts w:hint="eastAsia"/>
          <w:sz w:val="18"/>
          <w:szCs w:val="18"/>
        </w:rPr>
        <w:t>-1.00）=</w:t>
      </w:r>
      <w:r>
        <w:rPr>
          <w:rFonts w:hint="eastAsia"/>
          <w:sz w:val="18"/>
          <w:szCs w:val="18"/>
          <w:lang w:val="en-US" w:eastAsia="zh-CN"/>
        </w:rPr>
        <w:t>65</w:t>
      </w:r>
      <w:r>
        <w:rPr>
          <w:rFonts w:hint="eastAsia"/>
          <w:sz w:val="18"/>
          <w:szCs w:val="18"/>
        </w:rPr>
        <w:t>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highlight w:val="none"/>
        </w:rPr>
      </w:pPr>
      <w:r>
        <w:rPr>
          <w:rFonts w:hint="eastAsia"/>
          <w:sz w:val="18"/>
          <w:szCs w:val="18"/>
        </w:rPr>
        <w:t>以某客户投资100万元为例，购买时产品净值为1.00元，折算份额为1,000,000.00份，理财期限为11</w:t>
      </w:r>
      <w:r>
        <w:rPr>
          <w:rFonts w:hint="eastAsia"/>
          <w:sz w:val="18"/>
          <w:szCs w:val="18"/>
          <w:lang w:val="en-US" w:eastAsia="zh-CN"/>
        </w:rPr>
        <w:t>8</w:t>
      </w:r>
      <w:r>
        <w:rPr>
          <w:rFonts w:hint="eastAsia"/>
          <w:sz w:val="18"/>
          <w:szCs w:val="18"/>
        </w:rPr>
        <w:t>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终止理财计划，此时投资者的理财收益仍按照上述“投资者所得收益”条款中的计算公式计算。</w:t>
      </w:r>
    </w:p>
    <w:p>
      <w:pPr>
        <w:adjustRightInd w:val="0"/>
        <w:snapToGrid w:val="0"/>
        <w:spacing w:line="286" w:lineRule="auto"/>
        <w:rPr>
          <w:rFonts w:hint="eastAsia"/>
          <w:b/>
          <w:sz w:val="18"/>
          <w:szCs w:val="18"/>
          <w:highlight w:val="none"/>
        </w:rPr>
      </w:pPr>
      <w:r>
        <w:rPr>
          <w:rFonts w:hint="eastAsia"/>
          <w:b/>
          <w:sz w:val="18"/>
          <w:szCs w:val="18"/>
          <w:highlight w:val="none"/>
        </w:rPr>
        <w:t>理财计划收益分配</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1、收益的构成</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2、收益分配的原则</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rPr>
        <w:t>（</w:t>
      </w:r>
      <w:r>
        <w:rPr>
          <w:rFonts w:hint="eastAsia"/>
          <w:sz w:val="18"/>
          <w:szCs w:val="18"/>
          <w:highlight w:val="none"/>
          <w:lang w:eastAsia="zh-CN"/>
        </w:rPr>
        <w:t>2</w:t>
      </w:r>
      <w:r>
        <w:rPr>
          <w:rFonts w:hint="eastAsia"/>
          <w:sz w:val="18"/>
          <w:szCs w:val="18"/>
          <w:highlight w:val="none"/>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1）期间分配：在理财产品存续期内，产品管理人有权视理财产品收益情况进行主动分配。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2）终止分配：在理财计划终止时，产品管理人按照本理财计划产品说明书约定计算投资者收益后进行分配。</w:t>
      </w:r>
    </w:p>
    <w:p>
      <w:pPr>
        <w:numPr>
          <w:ilvl w:val="-1"/>
          <w:numId w:val="0"/>
        </w:num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（3）本理财计划收益分配方式为现金分配。</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投资者持有本理财计划期间，温州银行不承诺保证本金安全且不保证理财收益，投资者应得收益（如有）随投资盈亏水平浮动。</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3、收益分配方案的确定与披露</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本理财计划收益分配方案由产品管理人拟定，至少在分配日前1个工作日进行公告，理财计划产品说明书对收益分配方案已有约定的除外。</w:t>
      </w:r>
    </w:p>
    <w:p>
      <w:pPr>
        <w:numPr>
          <w:ilvl w:val="-1"/>
          <w:numId w:val="0"/>
        </w:numPr>
        <w:adjustRightInd w:val="0"/>
        <w:snapToGrid w:val="0"/>
        <w:spacing w:line="286" w:lineRule="auto"/>
        <w:rPr>
          <w:sz w:val="18"/>
          <w:szCs w:val="18"/>
          <w:highlight w:val="none"/>
        </w:rPr>
      </w:pPr>
      <w:r>
        <w:rPr>
          <w:rFonts w:hint="eastAsia"/>
          <w:b/>
          <w:bCs/>
          <w:sz w:val="18"/>
          <w:szCs w:val="18"/>
          <w:highlight w:val="none"/>
          <w:lang w:val="en-US" w:eastAsia="zh-CN"/>
        </w:rPr>
        <w:t>理财终止清算</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如果温州银行提前终止理财计划，理财到期日也相应提前到理财计划实际终止日。</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w:t>
      </w:r>
      <w:r>
        <w:rPr>
          <w:rFonts w:hint="eastAsia"/>
          <w:sz w:val="18"/>
          <w:szCs w:val="18"/>
          <w:highlight w:val="none"/>
          <w:lang w:val="en-US" w:eastAsia="zh-CN"/>
        </w:rPr>
        <w:t>净值型</w:t>
      </w:r>
      <w:r>
        <w:rPr>
          <w:rFonts w:hint="eastAsia"/>
          <w:sz w:val="18"/>
          <w:szCs w:val="18"/>
          <w:highlight w:val="none"/>
        </w:rPr>
        <w:t>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sz w:val="18"/>
          <w:szCs w:val="18"/>
          <w:highlight w:val="none"/>
        </w:rPr>
        <w:t>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9"/>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9"/>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封闭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如遇非工作日顺延</w:t>
      </w:r>
      <w:r>
        <w:rPr>
          <w:rFonts w:hint="eastAsia"/>
          <w:sz w:val="18"/>
          <w:szCs w:val="18"/>
          <w:highlight w:val="none"/>
        </w:rPr>
        <w:t>。</w:t>
      </w:r>
    </w:p>
    <w:p>
      <w:pPr>
        <w:adjustRightInd w:val="0"/>
        <w:snapToGrid w:val="0"/>
        <w:spacing w:line="286" w:lineRule="auto"/>
        <w:rPr>
          <w:rFonts w:hint="eastAsia" w:eastAsia="宋体"/>
          <w:sz w:val="18"/>
          <w:szCs w:val="18"/>
          <w:highlight w:val="none"/>
          <w:lang w:eastAsia="zh-CN"/>
        </w:rPr>
      </w:pPr>
      <w:r>
        <w:rPr>
          <w:rFonts w:hint="eastAsia"/>
          <w:sz w:val="18"/>
          <w:szCs w:val="18"/>
          <w:highlight w:val="none"/>
        </w:rPr>
        <w:t>3、临时性公告</w:t>
      </w:r>
      <w:r>
        <w:rPr>
          <w:rFonts w:hint="eastAsia"/>
          <w:sz w:val="18"/>
          <w:szCs w:val="18"/>
          <w:highlight w:val="none"/>
          <w:lang w:eastAsia="zh-CN"/>
        </w:rPr>
        <w:t>：</w:t>
      </w:r>
    </w:p>
    <w:p>
      <w:pPr>
        <w:adjustRightInd w:val="0"/>
        <w:snapToGrid w:val="0"/>
        <w:spacing w:line="286" w:lineRule="auto"/>
        <w:rPr>
          <w:b/>
          <w:sz w:val="18"/>
          <w:szCs w:val="18"/>
          <w:highlight w:val="none"/>
        </w:rPr>
      </w:pPr>
      <w:r>
        <w:rPr>
          <w:rFonts w:hint="eastAsia"/>
          <w:b/>
          <w:sz w:val="18"/>
          <w:szCs w:val="18"/>
          <w:highlight w:val="none"/>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highlight w:val="none"/>
        </w:rPr>
      </w:pPr>
      <w:r>
        <w:rPr>
          <w:rFonts w:hint="eastAsia"/>
          <w:sz w:val="18"/>
          <w:szCs w:val="18"/>
          <w:highlight w:val="none"/>
        </w:rPr>
        <w:t>（2）管理人将在运用暂停认购、暂停理财产品估值等措施后，3个交易日内发布相关事项公告，说明运用相关措施的原因、拟采取的应对安排等。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3</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highlight w:val="none"/>
        </w:rPr>
      </w:pPr>
      <w:r>
        <w:rPr>
          <w:rFonts w:hint="eastAsia"/>
          <w:b/>
          <w:bCs/>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2"/>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w:t>
      </w:r>
      <w:r>
        <w:rPr>
          <w:rFonts w:hint="eastAsia"/>
          <w:sz w:val="18"/>
          <w:szCs w:val="18"/>
          <w:highlight w:val="none"/>
          <w:lang w:eastAsia="zh-CN"/>
        </w:rPr>
        <w:t>温银理财</w:t>
      </w:r>
      <w:r>
        <w:rPr>
          <w:rFonts w:hint="eastAsia"/>
          <w:sz w:val="18"/>
          <w:szCs w:val="18"/>
          <w:highlight w:val="none"/>
        </w:rPr>
        <w:t>-普惠季享”</w:t>
      </w:r>
      <w:r>
        <w:rPr>
          <w:color w:val="000000"/>
          <w:sz w:val="18"/>
          <w:szCs w:val="18"/>
          <w:highlight w:val="none"/>
        </w:rPr>
        <w:t>26026</w:t>
      </w:r>
      <w:r>
        <w:rPr>
          <w:rFonts w:hint="eastAsia"/>
          <w:sz w:val="18"/>
          <w:szCs w:val="18"/>
          <w:highlight w:val="none"/>
        </w:rPr>
        <w:t>号（共同富裕特别款）银行理财计划风险揭示书》、《温州银行理财计划合约》和《温州银行理财产品投资者权益须知》等销售文件中的内容与本产品说明书不一致的，以本产品说明书约定的内容为准。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OKrpM+uE7nynCovKD6u2N9w3mWg=" w:salt="+ke5eE5CPYY6iKXojbPs3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5201AD"/>
    <w:rsid w:val="018C5462"/>
    <w:rsid w:val="019F3149"/>
    <w:rsid w:val="01B25DFE"/>
    <w:rsid w:val="020D5912"/>
    <w:rsid w:val="02B70580"/>
    <w:rsid w:val="03C64591"/>
    <w:rsid w:val="03E90339"/>
    <w:rsid w:val="05256D34"/>
    <w:rsid w:val="06EB04E9"/>
    <w:rsid w:val="06ED4D4B"/>
    <w:rsid w:val="06EE3C70"/>
    <w:rsid w:val="06F87141"/>
    <w:rsid w:val="07BB40C7"/>
    <w:rsid w:val="07CB16FD"/>
    <w:rsid w:val="0843731D"/>
    <w:rsid w:val="08EF38EC"/>
    <w:rsid w:val="09284DBF"/>
    <w:rsid w:val="09446D7E"/>
    <w:rsid w:val="0A1675AA"/>
    <w:rsid w:val="0A351F15"/>
    <w:rsid w:val="0AC90772"/>
    <w:rsid w:val="0BD45EF5"/>
    <w:rsid w:val="0DCB3427"/>
    <w:rsid w:val="0E5C65DD"/>
    <w:rsid w:val="0EAE5E5E"/>
    <w:rsid w:val="0F4B6711"/>
    <w:rsid w:val="104F44D5"/>
    <w:rsid w:val="109B1F8D"/>
    <w:rsid w:val="10B17669"/>
    <w:rsid w:val="11AA638B"/>
    <w:rsid w:val="12EE51BD"/>
    <w:rsid w:val="13E33D0E"/>
    <w:rsid w:val="14237D99"/>
    <w:rsid w:val="14717A98"/>
    <w:rsid w:val="14C54C98"/>
    <w:rsid w:val="15C44EC6"/>
    <w:rsid w:val="161D1528"/>
    <w:rsid w:val="179944CD"/>
    <w:rsid w:val="17BF4271"/>
    <w:rsid w:val="18826A9B"/>
    <w:rsid w:val="19E25A8D"/>
    <w:rsid w:val="19EC4338"/>
    <w:rsid w:val="1A5F6148"/>
    <w:rsid w:val="1CEE6A7A"/>
    <w:rsid w:val="1DBC7AEC"/>
    <w:rsid w:val="1EBD7528"/>
    <w:rsid w:val="1F0F4A66"/>
    <w:rsid w:val="20DB6550"/>
    <w:rsid w:val="21CD0C84"/>
    <w:rsid w:val="21E022E1"/>
    <w:rsid w:val="21E136F4"/>
    <w:rsid w:val="22156E7A"/>
    <w:rsid w:val="22A04815"/>
    <w:rsid w:val="22B162E6"/>
    <w:rsid w:val="23535C37"/>
    <w:rsid w:val="243F45B9"/>
    <w:rsid w:val="26531D8B"/>
    <w:rsid w:val="275A751E"/>
    <w:rsid w:val="27BD2B01"/>
    <w:rsid w:val="28076A45"/>
    <w:rsid w:val="29084DDE"/>
    <w:rsid w:val="2ACF0E36"/>
    <w:rsid w:val="2B916284"/>
    <w:rsid w:val="2C6539C6"/>
    <w:rsid w:val="2CF16BCB"/>
    <w:rsid w:val="2D1D2B95"/>
    <w:rsid w:val="2D297E19"/>
    <w:rsid w:val="2D682478"/>
    <w:rsid w:val="2DCB3047"/>
    <w:rsid w:val="2ECA3572"/>
    <w:rsid w:val="2F7E1AF7"/>
    <w:rsid w:val="2F862BC5"/>
    <w:rsid w:val="30271A47"/>
    <w:rsid w:val="305C00F9"/>
    <w:rsid w:val="30DC7477"/>
    <w:rsid w:val="313A7139"/>
    <w:rsid w:val="31AC46DA"/>
    <w:rsid w:val="32683389"/>
    <w:rsid w:val="3318043A"/>
    <w:rsid w:val="33CF505C"/>
    <w:rsid w:val="33F1533A"/>
    <w:rsid w:val="34F321CC"/>
    <w:rsid w:val="36C936FE"/>
    <w:rsid w:val="378C078C"/>
    <w:rsid w:val="38DD1A62"/>
    <w:rsid w:val="38FC2B02"/>
    <w:rsid w:val="39766FF2"/>
    <w:rsid w:val="3A3C4BCB"/>
    <w:rsid w:val="3A3E0B79"/>
    <w:rsid w:val="3A9532FB"/>
    <w:rsid w:val="3B57FF03"/>
    <w:rsid w:val="3B6251B3"/>
    <w:rsid w:val="3BB23156"/>
    <w:rsid w:val="3BBF210A"/>
    <w:rsid w:val="3BFBD5F2"/>
    <w:rsid w:val="3C130397"/>
    <w:rsid w:val="3C5B2CDB"/>
    <w:rsid w:val="3C72230B"/>
    <w:rsid w:val="3CC71547"/>
    <w:rsid w:val="3D150741"/>
    <w:rsid w:val="3DCA67EC"/>
    <w:rsid w:val="3E2566A4"/>
    <w:rsid w:val="3F7E5351"/>
    <w:rsid w:val="40A40662"/>
    <w:rsid w:val="4146226E"/>
    <w:rsid w:val="418D0632"/>
    <w:rsid w:val="43395CAF"/>
    <w:rsid w:val="434002F8"/>
    <w:rsid w:val="43503346"/>
    <w:rsid w:val="43712A5A"/>
    <w:rsid w:val="4409550D"/>
    <w:rsid w:val="45A13E49"/>
    <w:rsid w:val="462B298E"/>
    <w:rsid w:val="4769700F"/>
    <w:rsid w:val="47B76967"/>
    <w:rsid w:val="485937D1"/>
    <w:rsid w:val="48805D23"/>
    <w:rsid w:val="48C749F6"/>
    <w:rsid w:val="492734EF"/>
    <w:rsid w:val="4AB2210B"/>
    <w:rsid w:val="4D1F0E18"/>
    <w:rsid w:val="4DA54130"/>
    <w:rsid w:val="4DB85AC7"/>
    <w:rsid w:val="4E424101"/>
    <w:rsid w:val="4E9D337C"/>
    <w:rsid w:val="4EFE40C2"/>
    <w:rsid w:val="4F213D5A"/>
    <w:rsid w:val="51F53730"/>
    <w:rsid w:val="54133033"/>
    <w:rsid w:val="546F0E0A"/>
    <w:rsid w:val="565065EF"/>
    <w:rsid w:val="56865A7D"/>
    <w:rsid w:val="56AB5155"/>
    <w:rsid w:val="56D52575"/>
    <w:rsid w:val="57313966"/>
    <w:rsid w:val="58121B96"/>
    <w:rsid w:val="583E376D"/>
    <w:rsid w:val="58E34C34"/>
    <w:rsid w:val="59532BE6"/>
    <w:rsid w:val="5A6C6059"/>
    <w:rsid w:val="5D0B2C53"/>
    <w:rsid w:val="5DD76B10"/>
    <w:rsid w:val="5E014390"/>
    <w:rsid w:val="5E142BAD"/>
    <w:rsid w:val="5E3633EC"/>
    <w:rsid w:val="5E633CE1"/>
    <w:rsid w:val="5F4A6202"/>
    <w:rsid w:val="616E34C6"/>
    <w:rsid w:val="61E21802"/>
    <w:rsid w:val="623D1E92"/>
    <w:rsid w:val="62715C60"/>
    <w:rsid w:val="627B657A"/>
    <w:rsid w:val="63E61C76"/>
    <w:rsid w:val="64337DCC"/>
    <w:rsid w:val="64A6112D"/>
    <w:rsid w:val="64C0477E"/>
    <w:rsid w:val="661104BF"/>
    <w:rsid w:val="664D6AA2"/>
    <w:rsid w:val="67FF3C33"/>
    <w:rsid w:val="683D7E3B"/>
    <w:rsid w:val="699C4EA7"/>
    <w:rsid w:val="6B9D5BC9"/>
    <w:rsid w:val="6D15771F"/>
    <w:rsid w:val="6D604A7B"/>
    <w:rsid w:val="6E7F3A9C"/>
    <w:rsid w:val="6F2F4471"/>
    <w:rsid w:val="6F6944D6"/>
    <w:rsid w:val="6F6D3125"/>
    <w:rsid w:val="6FA81A3C"/>
    <w:rsid w:val="71360DE5"/>
    <w:rsid w:val="718A5772"/>
    <w:rsid w:val="76592994"/>
    <w:rsid w:val="7678652D"/>
    <w:rsid w:val="79632EC7"/>
    <w:rsid w:val="7ABB3FE8"/>
    <w:rsid w:val="7AFF2EFC"/>
    <w:rsid w:val="7BBA77ED"/>
    <w:rsid w:val="7C2D424A"/>
    <w:rsid w:val="7CE65BF7"/>
    <w:rsid w:val="7DDE7FE3"/>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3"/>
    <w:unhideWhenUsed/>
    <w:qFormat/>
    <w:uiPriority w:val="99"/>
    <w:pPr>
      <w:jc w:val="left"/>
    </w:pPr>
  </w:style>
  <w:style w:type="paragraph" w:styleId="3">
    <w:name w:val="Plain Text"/>
    <w:basedOn w:val="1"/>
    <w:link w:val="14"/>
    <w:unhideWhenUsed/>
    <w:qFormat/>
    <w:uiPriority w:val="99"/>
    <w:rPr>
      <w:rFonts w:ascii="宋体" w:hAnsi="Courier New"/>
      <w:kern w:val="0"/>
      <w:sz w:val="20"/>
      <w:szCs w:val="21"/>
    </w:rPr>
  </w:style>
  <w:style w:type="paragraph" w:styleId="4">
    <w:name w:val="Balloon Text"/>
    <w:basedOn w:val="1"/>
    <w:link w:val="15"/>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kern w:val="0"/>
      <w:sz w:val="18"/>
      <w:szCs w:val="18"/>
    </w:rPr>
  </w:style>
  <w:style w:type="paragraph" w:styleId="6">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8"/>
    <w:unhideWhenUsed/>
    <w:qFormat/>
    <w:uiPriority w:val="99"/>
    <w:rPr>
      <w:b/>
      <w:bCs/>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annotation reference"/>
    <w:unhideWhenUsed/>
    <w:qFormat/>
    <w:uiPriority w:val="99"/>
    <w:rPr>
      <w:sz w:val="21"/>
      <w:szCs w:val="21"/>
    </w:rPr>
  </w:style>
  <w:style w:type="character" w:customStyle="1" w:styleId="13">
    <w:name w:val="批注文字 字符"/>
    <w:link w:val="2"/>
    <w:qFormat/>
    <w:uiPriority w:val="99"/>
    <w:rPr>
      <w:rFonts w:ascii="Times New Roman" w:hAnsi="Times New Roman"/>
      <w:kern w:val="2"/>
      <w:sz w:val="21"/>
    </w:rPr>
  </w:style>
  <w:style w:type="character" w:customStyle="1" w:styleId="14">
    <w:name w:val="纯文本 字符"/>
    <w:link w:val="3"/>
    <w:qFormat/>
    <w:uiPriority w:val="99"/>
    <w:rPr>
      <w:rFonts w:ascii="宋体" w:hAnsi="Courier New" w:eastAsia="宋体" w:cs="Courier New"/>
      <w:szCs w:val="21"/>
    </w:rPr>
  </w:style>
  <w:style w:type="character" w:customStyle="1" w:styleId="15">
    <w:name w:val="批注框文本 字符"/>
    <w:link w:val="4"/>
    <w:semiHidden/>
    <w:qFormat/>
    <w:uiPriority w:val="99"/>
    <w:rPr>
      <w:kern w:val="2"/>
      <w:sz w:val="18"/>
      <w:szCs w:val="18"/>
    </w:rPr>
  </w:style>
  <w:style w:type="character" w:customStyle="1" w:styleId="16">
    <w:name w:val="页脚 字符"/>
    <w:link w:val="5"/>
    <w:qFormat/>
    <w:uiPriority w:val="99"/>
    <w:rPr>
      <w:rFonts w:ascii="Calibri" w:hAnsi="Calibri" w:eastAsia="宋体" w:cs="Times New Roman"/>
      <w:kern w:val="0"/>
      <w:sz w:val="18"/>
      <w:szCs w:val="18"/>
    </w:rPr>
  </w:style>
  <w:style w:type="character" w:customStyle="1" w:styleId="17">
    <w:name w:val="页眉 字符"/>
    <w:link w:val="6"/>
    <w:qFormat/>
    <w:uiPriority w:val="99"/>
    <w:rPr>
      <w:kern w:val="2"/>
      <w:sz w:val="18"/>
      <w:szCs w:val="18"/>
    </w:rPr>
  </w:style>
  <w:style w:type="character" w:customStyle="1" w:styleId="18">
    <w:name w:val="批注主题 字符"/>
    <w:link w:val="8"/>
    <w:semiHidden/>
    <w:qFormat/>
    <w:uiPriority w:val="99"/>
    <w:rPr>
      <w:rFonts w:ascii="Times New Roman" w:hAnsi="Times New Roman"/>
      <w:b/>
      <w:bCs/>
      <w:kern w:val="2"/>
      <w:sz w:val="21"/>
    </w:rPr>
  </w:style>
  <w:style w:type="paragraph" w:styleId="19">
    <w:name w:val="List Paragraph"/>
    <w:basedOn w:val="1"/>
    <w:qFormat/>
    <w:uiPriority w:val="34"/>
    <w:pPr>
      <w:widowControl/>
      <w:ind w:firstLine="420"/>
    </w:pPr>
    <w:rPr>
      <w:rFonts w:cs="宋体"/>
      <w:kern w:val="0"/>
      <w:szCs w:val="21"/>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_Style 19"/>
    <w:unhideWhenUsed/>
    <w:qFormat/>
    <w:uiPriority w:val="99"/>
    <w:rPr>
      <w:rFonts w:ascii="Times New Roman" w:hAnsi="Times New Roman" w:eastAsia="宋体" w:cs="Times New Roman"/>
      <w:kern w:val="2"/>
      <w:sz w:val="21"/>
      <w:lang w:val="en-US" w:eastAsia="zh-CN" w:bidi="ar-SA"/>
    </w:rPr>
  </w:style>
  <w:style w:type="character" w:customStyle="1" w:styleId="22">
    <w:name w:val="15"/>
    <w:basedOn w:val="11"/>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1060</Words>
  <Characters>1080</Characters>
  <Lines>100</Lines>
  <Paragraphs>28</Paragraphs>
  <TotalTime>3</TotalTime>
  <ScaleCrop>false</ScaleCrop>
  <LinksUpToDate>false</LinksUpToDate>
  <CharactersWithSpaces>1272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2026-10-30T07:28:16Z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