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bookmarkStart w:id="0" w:name="_GoBack"/>
      <w:bookmarkEnd w:id="0"/>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19021</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color w:val="000000"/>
          <w:szCs w:val="21"/>
          <w:highlight w:val="none"/>
          <w:u w:val="single"/>
        </w:rPr>
        <w:t>19021</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“金鹿理财-温盈”19021号开放式净值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color w:val="000000"/>
          <w:szCs w:val="21"/>
          <w:highlight w:val="none"/>
        </w:rPr>
        <w:t>三、本风险揭示书及《温州银行“金鹿理财-温盈”19021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温盈”19021号开放式净值型银行理财计划产品说明书》、《温州银行“金鹿理财-温盈”19021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19021</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温盈”19021号开放式净值型银行理财计划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“金鹿理财-温盈”</w:t>
            </w:r>
            <w:r>
              <w:rPr>
                <w:rFonts w:hint="eastAsia"/>
                <w:color w:val="000000"/>
                <w:sz w:val="18"/>
                <w:szCs w:val="18"/>
                <w:highlight w:val="none"/>
                <w:u w:val="single"/>
              </w:rPr>
              <w:t>19021</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YJ1021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C1092219000315</w:t>
            </w:r>
          </w:p>
          <w:p>
            <w:pPr>
              <w:pStyle w:val="14"/>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2019年9月5日</w:t>
            </w:r>
            <w:r>
              <w:rPr>
                <w:rFonts w:hint="eastAsia"/>
                <w:sz w:val="18"/>
                <w:szCs w:val="18"/>
                <w:u w:val="single"/>
              </w:rPr>
              <w:t>至</w:t>
            </w:r>
            <w:r>
              <w:rPr>
                <w:rFonts w:hint="eastAsia"/>
                <w:color w:val="000000"/>
                <w:sz w:val="18"/>
                <w:szCs w:val="18"/>
                <w:u w:val="single"/>
                <w:lang w:val="en-US" w:eastAsia="zh-CN"/>
              </w:rPr>
              <w:t>2019年9月10日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首个投资运作周期的业绩比较基准为4.70%（年化）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本理财计划成立日为2019年9月11日。温州银行有权根据实际募集情况选择产品提前成立，若温州银行采取以上措施，温州银行将就产品相应要素的调整事宜于提前成立日前的一个工作日在温州银行网站予以公告。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371</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371</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《温州银行“金鹿理财-温盈”19021号开放式净值型（第i期）银行理财计划开放认购（申购）申请书》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shd w:val="clear" w:color="auto" w:fill="auto"/>
            <w:vAlign w:val="top"/>
          </w:tcPr>
          <w:p>
            <w:pPr>
              <w:adjustRightInd w:val="0"/>
              <w:snapToGrid w:val="0"/>
              <w:spacing w:line="286" w:lineRule="auto"/>
              <w:rPr>
                <w:rFonts w:hint="eastAsia" w:ascii="Times New Roman" w:hAnsi="Times New Roman" w:eastAsia="宋体" w:cs="Times New Roman"/>
                <w:kern w:val="2"/>
                <w:sz w:val="18"/>
                <w:szCs w:val="18"/>
                <w:highlight w:val="none"/>
                <w:vertAlign w:val="baseline"/>
                <w:lang w:val="en-US" w:eastAsia="zh-CN" w:bidi="ar-SA"/>
              </w:rPr>
            </w:pPr>
            <w:r>
              <w:rPr>
                <w:rFonts w:hint="eastAsia"/>
                <w:color w:val="000000"/>
                <w:sz w:val="18"/>
                <w:szCs w:val="18"/>
                <w:highlight w:val="none"/>
                <w:vertAlign w:val="baseline"/>
                <w:lang w:eastAsia="zh-CN"/>
              </w:rPr>
              <w:t>2.55%-2.75%</w:t>
            </w:r>
          </w:p>
        </w:tc>
        <w:tc>
          <w:tcPr>
            <w:tcW w:w="2500" w:type="pct"/>
            <w:shd w:val="clear" w:color="auto" w:fill="auto"/>
            <w:vAlign w:val="top"/>
          </w:tcPr>
          <w:p>
            <w:pPr>
              <w:adjustRightInd w:val="0"/>
              <w:snapToGrid w:val="0"/>
              <w:spacing w:line="286" w:lineRule="auto"/>
              <w:rPr>
                <w:rFonts w:hint="eastAsia" w:ascii="Times New Roman" w:hAnsi="Times New Roman" w:eastAsia="宋体" w:cs="Times New Roman"/>
                <w:kern w:val="2"/>
                <w:sz w:val="18"/>
                <w:szCs w:val="18"/>
                <w:highlight w:val="none"/>
                <w:vertAlign w:val="baseline"/>
                <w:lang w:val="en-US" w:eastAsia="zh-CN" w:bidi="ar-SA"/>
              </w:rPr>
            </w:pPr>
            <w:r>
              <w:rPr>
                <w:rFonts w:hint="eastAsia"/>
                <w:color w:val="000000"/>
                <w:sz w:val="18"/>
                <w:szCs w:val="18"/>
                <w:highlight w:val="none"/>
                <w:vertAlign w:val="baseline"/>
                <w:lang w:eastAsia="zh-CN"/>
              </w:rPr>
              <w:t>2025年10月22日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eastAsia"/>
                <w:sz w:val="18"/>
                <w:szCs w:val="18"/>
                <w:highlight w:val="none"/>
                <w:vertAlign w:val="baseline"/>
                <w:lang w:eastAsia="zh-CN"/>
              </w:rPr>
            </w:pPr>
            <w:r>
              <w:rPr>
                <w:rFonts w:hint="eastAsia"/>
                <w:color w:val="000000"/>
                <w:sz w:val="18"/>
                <w:szCs w:val="18"/>
                <w:highlight w:val="none"/>
                <w:vertAlign w:val="baseline"/>
                <w:lang w:eastAsia="zh-CN"/>
              </w:rPr>
              <w:t>2.30%-2.60%</w:t>
            </w:r>
          </w:p>
        </w:tc>
        <w:tc>
          <w:tcPr>
            <w:tcW w:w="2500" w:type="pct"/>
          </w:tcPr>
          <w:p>
            <w:pPr>
              <w:adjustRightInd w:val="0"/>
              <w:snapToGrid w:val="0"/>
              <w:spacing w:line="286" w:lineRule="auto"/>
              <w:rPr>
                <w:rFonts w:hint="eastAsia"/>
                <w:sz w:val="18"/>
                <w:szCs w:val="18"/>
                <w:highlight w:val="none"/>
                <w:vertAlign w:val="baseline"/>
                <w:lang w:eastAsia="zh-CN"/>
              </w:rPr>
            </w:pPr>
            <w:r>
              <w:rPr>
                <w:rFonts w:hint="eastAsia"/>
                <w:color w:val="000000"/>
                <w:sz w:val="18"/>
                <w:szCs w:val="18"/>
                <w:highlight w:val="none"/>
                <w:vertAlign w:val="baseline"/>
                <w:lang w:eastAsia="zh-CN"/>
              </w:rPr>
              <w:t>2026年11月4日</w:t>
            </w: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宁波银行股份有限公司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浙江省宁波市鄞州区宁东路345号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sz w:val="18"/>
          <w:szCs w:val="18"/>
          <w:highlight w:val="none"/>
        </w:rPr>
      </w:pPr>
    </w:p>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《温州银行“金鹿理财-温盈”19021号开放式净值型（第i期）银行理财计划开放认购（申购）申请书》。投资运作周期到期时，该周期内的资金收益情况根据所投资资产组合的实际运作情况确定。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：本理财计划成立日为2019年9月11日，从成立日起，每</w:t>
      </w:r>
      <w:r>
        <w:rPr>
          <w:rFonts w:ascii="宋体" w:hAnsi="宋体"/>
          <w:sz w:val="18"/>
          <w:highlight w:val="none"/>
        </w:rPr>
        <w:t>【</w:t>
      </w:r>
      <w:r>
        <w:rPr>
          <w:rFonts w:hint="eastAsia" w:ascii="宋体" w:hAnsi="宋体"/>
          <w:color w:val="000000"/>
          <w:sz w:val="18"/>
          <w:highlight w:val="none"/>
        </w:rPr>
        <w:t>371</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371</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lang w:eastAsia="zh-Hans"/>
        </w:rPr>
        <w:t>千</w:t>
      </w:r>
      <w:r>
        <w:rPr>
          <w:rFonts w:hint="eastAsia"/>
          <w:sz w:val="18"/>
          <w:szCs w:val="18"/>
          <w:highlight w:val="none"/>
        </w:rPr>
        <w:t>元或人民币</w:t>
      </w:r>
      <w:r>
        <w:rPr>
          <w:sz w:val="18"/>
          <w:szCs w:val="18"/>
          <w:highlight w:val="none"/>
        </w:rPr>
        <w:t>1</w:t>
      </w:r>
      <w:r>
        <w:rPr>
          <w:rFonts w:hint="eastAsia"/>
          <w:sz w:val="18"/>
          <w:szCs w:val="18"/>
          <w:highlight w:val="none"/>
          <w:lang w:eastAsia="zh-Hans"/>
        </w:rPr>
        <w:t>千</w:t>
      </w:r>
      <w:r>
        <w:rPr>
          <w:rFonts w:hint="eastAsia"/>
          <w:sz w:val="18"/>
          <w:szCs w:val="18"/>
          <w:highlight w:val="none"/>
        </w:rPr>
        <w:t>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本产品预计到期终止日为2029年9月11日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lang w:val="en-US" w:eastAsia="zh-CN"/>
        </w:rPr>
        <w:t>理财计划运作周期到期日收益</w:t>
      </w: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highlight w:val="none"/>
          <w:lang w:val="en-US"/>
        </w:rPr>
        <w:t>以及</w:t>
      </w:r>
      <w:r>
        <w:rPr>
          <w:rFonts w:hint="eastAsia"/>
          <w:sz w:val="18"/>
          <w:szCs w:val="18"/>
          <w:highlight w:val="none"/>
        </w:rPr>
        <w:t>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温盈”19021号开放式净值型银行理财计划风险揭示书》、《温州银行理财计划合约》、《温州银行“金鹿理财-温盈”19021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spacing w:line="372" w:lineRule="auto"/>
        <w:rPr>
          <w:rFonts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nnMqQjZj/nm5m120xLmtzhfjtbQ=" w:salt="bW1TMSdhTRI1qlKwBcq4z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241F4C"/>
    <w:rsid w:val="05692ECA"/>
    <w:rsid w:val="06AF5062"/>
    <w:rsid w:val="07B535DA"/>
    <w:rsid w:val="07EC55A4"/>
    <w:rsid w:val="08294507"/>
    <w:rsid w:val="0AB363EF"/>
    <w:rsid w:val="0CEF7946"/>
    <w:rsid w:val="0D055C57"/>
    <w:rsid w:val="0E697CA7"/>
    <w:rsid w:val="0EAA68C9"/>
    <w:rsid w:val="0F1A3EC9"/>
    <w:rsid w:val="0F3A26CB"/>
    <w:rsid w:val="10474F4D"/>
    <w:rsid w:val="10D46D68"/>
    <w:rsid w:val="110A015B"/>
    <w:rsid w:val="11AD367A"/>
    <w:rsid w:val="11FC6491"/>
    <w:rsid w:val="126D7BD7"/>
    <w:rsid w:val="12AF54F8"/>
    <w:rsid w:val="12C37B94"/>
    <w:rsid w:val="12C50DEC"/>
    <w:rsid w:val="15217A25"/>
    <w:rsid w:val="15BD1CB8"/>
    <w:rsid w:val="15C41643"/>
    <w:rsid w:val="15FF5FA5"/>
    <w:rsid w:val="17277EF5"/>
    <w:rsid w:val="17974DC1"/>
    <w:rsid w:val="17D47E76"/>
    <w:rsid w:val="17EF05B6"/>
    <w:rsid w:val="18525F35"/>
    <w:rsid w:val="19BC0843"/>
    <w:rsid w:val="1A0C55B0"/>
    <w:rsid w:val="1B042A21"/>
    <w:rsid w:val="1B791582"/>
    <w:rsid w:val="1B8D49E4"/>
    <w:rsid w:val="1C813061"/>
    <w:rsid w:val="1D5D13BA"/>
    <w:rsid w:val="1D7D329E"/>
    <w:rsid w:val="1E9802D8"/>
    <w:rsid w:val="1F992244"/>
    <w:rsid w:val="1FF86756"/>
    <w:rsid w:val="21716EFD"/>
    <w:rsid w:val="21D060D6"/>
    <w:rsid w:val="228F020A"/>
    <w:rsid w:val="243D7238"/>
    <w:rsid w:val="25385D7F"/>
    <w:rsid w:val="25D455A1"/>
    <w:rsid w:val="26004320"/>
    <w:rsid w:val="284D2E1D"/>
    <w:rsid w:val="285844AB"/>
    <w:rsid w:val="29E93B84"/>
    <w:rsid w:val="2DC35A21"/>
    <w:rsid w:val="2F9C0B2A"/>
    <w:rsid w:val="2FDE6441"/>
    <w:rsid w:val="30633262"/>
    <w:rsid w:val="306F7311"/>
    <w:rsid w:val="30AB0CE7"/>
    <w:rsid w:val="31253F01"/>
    <w:rsid w:val="327E6664"/>
    <w:rsid w:val="33157C11"/>
    <w:rsid w:val="34B42407"/>
    <w:rsid w:val="35270B41"/>
    <w:rsid w:val="353E2A70"/>
    <w:rsid w:val="35EA1207"/>
    <w:rsid w:val="366C33D7"/>
    <w:rsid w:val="36E42715"/>
    <w:rsid w:val="37965442"/>
    <w:rsid w:val="382F302B"/>
    <w:rsid w:val="38747519"/>
    <w:rsid w:val="388E3C7C"/>
    <w:rsid w:val="38E45900"/>
    <w:rsid w:val="39C8686F"/>
    <w:rsid w:val="3A4851EE"/>
    <w:rsid w:val="3A770E22"/>
    <w:rsid w:val="3B090C09"/>
    <w:rsid w:val="3BE35F9B"/>
    <w:rsid w:val="3D231C22"/>
    <w:rsid w:val="3E113873"/>
    <w:rsid w:val="3EF0533E"/>
    <w:rsid w:val="3F063D4E"/>
    <w:rsid w:val="3FC979F3"/>
    <w:rsid w:val="40076C80"/>
    <w:rsid w:val="4026664B"/>
    <w:rsid w:val="421B7FF4"/>
    <w:rsid w:val="42526821"/>
    <w:rsid w:val="4275406E"/>
    <w:rsid w:val="42A87CFF"/>
    <w:rsid w:val="43B55CF6"/>
    <w:rsid w:val="47643176"/>
    <w:rsid w:val="47F32BE2"/>
    <w:rsid w:val="496F6480"/>
    <w:rsid w:val="497C717E"/>
    <w:rsid w:val="49815F2A"/>
    <w:rsid w:val="49C633C6"/>
    <w:rsid w:val="4A2E173D"/>
    <w:rsid w:val="4ABC78E8"/>
    <w:rsid w:val="4BDD7CC5"/>
    <w:rsid w:val="4C26757B"/>
    <w:rsid w:val="4C4B4443"/>
    <w:rsid w:val="4C8807EB"/>
    <w:rsid w:val="4DF26BF1"/>
    <w:rsid w:val="4ED34292"/>
    <w:rsid w:val="4FC865FE"/>
    <w:rsid w:val="51FA7F99"/>
    <w:rsid w:val="524916E3"/>
    <w:rsid w:val="52544188"/>
    <w:rsid w:val="53EB39EC"/>
    <w:rsid w:val="55312E83"/>
    <w:rsid w:val="55CE1987"/>
    <w:rsid w:val="55EF3F6F"/>
    <w:rsid w:val="576363EF"/>
    <w:rsid w:val="58780E48"/>
    <w:rsid w:val="588714B8"/>
    <w:rsid w:val="58E62499"/>
    <w:rsid w:val="59647D3E"/>
    <w:rsid w:val="597C685E"/>
    <w:rsid w:val="5A250F91"/>
    <w:rsid w:val="5A6516AD"/>
    <w:rsid w:val="5B8F5673"/>
    <w:rsid w:val="5CC812FA"/>
    <w:rsid w:val="5CCC65F5"/>
    <w:rsid w:val="5DA417E6"/>
    <w:rsid w:val="5E821239"/>
    <w:rsid w:val="5F650D3C"/>
    <w:rsid w:val="60675196"/>
    <w:rsid w:val="61AE7F1D"/>
    <w:rsid w:val="637E1589"/>
    <w:rsid w:val="658E5B8D"/>
    <w:rsid w:val="673B772F"/>
    <w:rsid w:val="686A13AA"/>
    <w:rsid w:val="690F109F"/>
    <w:rsid w:val="697F213B"/>
    <w:rsid w:val="6CA0717C"/>
    <w:rsid w:val="6D657193"/>
    <w:rsid w:val="6F0A3BD3"/>
    <w:rsid w:val="72B3716D"/>
    <w:rsid w:val="73E45411"/>
    <w:rsid w:val="74B84FF6"/>
    <w:rsid w:val="74CF1C9F"/>
    <w:rsid w:val="75F7452C"/>
    <w:rsid w:val="769A561B"/>
    <w:rsid w:val="77D232A2"/>
    <w:rsid w:val="78115854"/>
    <w:rsid w:val="78BB101F"/>
    <w:rsid w:val="78EE0575"/>
    <w:rsid w:val="7BDD1E8F"/>
    <w:rsid w:val="7BF13C4F"/>
    <w:rsid w:val="7C69082B"/>
    <w:rsid w:val="7DDE5540"/>
    <w:rsid w:val="7DE500BC"/>
    <w:rsid w:val="7E1750DA"/>
    <w:rsid w:val="7E8B4C0D"/>
    <w:rsid w:val="7F9D7069"/>
    <w:rsid w:val="7FBE7774"/>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unhideWhenUsed/>
    <w:qFormat/>
    <w:uiPriority w:val="99"/>
    <w:pPr>
      <w:jc w:val="left"/>
    </w:pPr>
  </w:style>
  <w:style w:type="paragraph" w:styleId="3">
    <w:name w:val="Balloon Text"/>
    <w:basedOn w:val="1"/>
    <w:link w:val="15"/>
    <w:unhideWhenUsed/>
    <w:qFormat/>
    <w:uiPriority w:val="99"/>
    <w:rPr>
      <w:sz w:val="18"/>
      <w:szCs w:val="18"/>
    </w:rPr>
  </w:style>
  <w:style w:type="paragraph" w:styleId="4">
    <w:name w:val="footer"/>
    <w:basedOn w:val="1"/>
    <w:link w:val="18"/>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7"/>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9"/>
    <w:unhideWhenUsed/>
    <w:qFormat/>
    <w:uiPriority w:val="99"/>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5">
    <w:name w:val="批注框文本 字符"/>
    <w:link w:val="3"/>
    <w:semiHidden/>
    <w:qFormat/>
    <w:uiPriority w:val="99"/>
    <w:rPr>
      <w:rFonts w:ascii="Times New Roman" w:hAnsi="Times New Roman"/>
      <w:kern w:val="2"/>
      <w:sz w:val="18"/>
      <w:szCs w:val="18"/>
    </w:rPr>
  </w:style>
  <w:style w:type="character" w:customStyle="1" w:styleId="16">
    <w:name w:val="批注文字 字符"/>
    <w:link w:val="2"/>
    <w:semiHidden/>
    <w:qFormat/>
    <w:uiPriority w:val="99"/>
    <w:rPr>
      <w:rFonts w:ascii="Times New Roman" w:hAnsi="Times New Roman"/>
      <w:kern w:val="2"/>
      <w:sz w:val="21"/>
    </w:rPr>
  </w:style>
  <w:style w:type="character" w:customStyle="1" w:styleId="17">
    <w:name w:val="页眉 字符"/>
    <w:link w:val="5"/>
    <w:semiHidden/>
    <w:qFormat/>
    <w:uiPriority w:val="99"/>
    <w:rPr>
      <w:sz w:val="18"/>
      <w:szCs w:val="18"/>
    </w:rPr>
  </w:style>
  <w:style w:type="character" w:customStyle="1" w:styleId="18">
    <w:name w:val="页脚 字符"/>
    <w:link w:val="4"/>
    <w:qFormat/>
    <w:uiPriority w:val="99"/>
    <w:rPr>
      <w:sz w:val="18"/>
      <w:szCs w:val="18"/>
    </w:rPr>
  </w:style>
  <w:style w:type="character" w:customStyle="1" w:styleId="19">
    <w:name w:val="批注主题 字符"/>
    <w:link w:val="7"/>
    <w:semiHidden/>
    <w:qFormat/>
    <w:uiPriority w:val="99"/>
    <w:rPr>
      <w:rFonts w:ascii="Times New Roman" w:hAnsi="Times New Roman"/>
      <w:b/>
      <w:bCs/>
      <w:kern w:val="2"/>
      <w:sz w:val="21"/>
    </w:rPr>
  </w:style>
  <w:style w:type="paragraph" w:customStyle="1" w:styleId="20">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1267</Words>
  <Characters>1269</Characters>
  <Lines>133</Lines>
  <Paragraphs>37</Paragraphs>
  <TotalTime>3</TotalTime>
  <ScaleCrop>false</ScaleCrop>
  <LinksUpToDate>false</LinksUpToDate>
  <CharactersWithSpaces>1508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2026-10-26T02:29:53Z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