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after="312" w:afterLines="100" w:line="288" w:lineRule="auto"/>
        <w:jc w:val="both"/>
        <w:rPr>
          <w:rFonts w:hint="default" w:ascii="黑体" w:hAnsi="黑体" w:eastAsia="黑体" w:cs="黑体"/>
          <w:b w:val="0"/>
          <w:bCs/>
          <w:sz w:val="36"/>
          <w:szCs w:val="36"/>
          <w:lang w:val="en-US" w:eastAsia="zh-CN"/>
        </w:rPr>
      </w:pPr>
      <w:bookmarkStart w:id="10" w:name="_GoBack"/>
      <w:r>
        <w:rPr>
          <w:rFonts w:hint="eastAsia" w:ascii="黑体" w:hAnsi="黑体" w:eastAsia="黑体" w:cs="黑体"/>
          <w:b w:val="0"/>
          <w:bCs/>
          <w:sz w:val="36"/>
          <w:szCs w:val="36"/>
          <w:lang w:val="en-US" w:eastAsia="zh-CN"/>
        </w:rPr>
        <w:t>附件6</w:t>
      </w:r>
    </w:p>
    <w:bookmarkEnd w:id="10"/>
    <w:p>
      <w:pPr>
        <w:snapToGrid w:val="0"/>
        <w:spacing w:after="312" w:afterLines="100" w:line="288" w:lineRule="auto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温州银行供应</w:t>
      </w:r>
      <w:r>
        <w:rPr>
          <w:rFonts w:hint="eastAsia" w:ascii="黑体" w:hAnsi="黑体" w:eastAsia="黑体" w:cs="黑体"/>
          <w:b/>
          <w:sz w:val="36"/>
          <w:szCs w:val="36"/>
        </w:rPr>
        <w:t>商</w:t>
      </w: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情况</w:t>
      </w:r>
      <w:r>
        <w:rPr>
          <w:rFonts w:hint="eastAsia" w:ascii="黑体" w:hAnsi="黑体" w:eastAsia="黑体" w:cs="黑体"/>
          <w:b/>
          <w:sz w:val="36"/>
          <w:szCs w:val="36"/>
        </w:rPr>
        <w:t>报告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一、基本信息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1.1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基本信息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5"/>
        <w:gridCol w:w="2185"/>
        <w:gridCol w:w="1970"/>
        <w:gridCol w:w="20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全称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成立日期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法人代表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公司类型</w:t>
            </w:r>
          </w:p>
        </w:tc>
        <w:tc>
          <w:tcPr>
            <w:tcW w:w="2185" w:type="dxa"/>
            <w:shd w:val="clear" w:color="auto" w:fill="auto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注册资本&amp;币种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统一社会信用代码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公司地址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</w:t>
            </w:r>
          </w:p>
        </w:tc>
        <w:tc>
          <w:tcPr>
            <w:tcW w:w="2185" w:type="dxa"/>
            <w:shd w:val="clear" w:color="auto" w:fill="auto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970" w:type="dxa"/>
            <w:shd w:val="clear" w:color="auto" w:fill="D8D8D8"/>
            <w:noWrap w:val="0"/>
            <w:vAlign w:val="top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联系人电话</w:t>
            </w:r>
          </w:p>
        </w:tc>
        <w:tc>
          <w:tcPr>
            <w:tcW w:w="2042" w:type="dxa"/>
            <w:noWrap w:val="0"/>
            <w:vAlign w:val="top"/>
          </w:tcPr>
          <w:p>
            <w:pPr>
              <w:snapToGrid w:val="0"/>
              <w:spacing w:line="288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325" w:type="dxa"/>
            <w:shd w:val="clear" w:color="auto" w:fill="D8D8D8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公司主营业务</w:t>
            </w:r>
          </w:p>
        </w:tc>
        <w:tc>
          <w:tcPr>
            <w:tcW w:w="6197" w:type="dxa"/>
            <w:gridSpan w:val="3"/>
            <w:noWrap w:val="0"/>
            <w:vAlign w:val="center"/>
          </w:tcPr>
          <w:p>
            <w:pPr>
              <w:snapToGrid w:val="0"/>
              <w:spacing w:line="288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pStyle w:val="4"/>
        <w:bidi w:val="0"/>
        <w:rPr>
          <w:rFonts w:hint="eastAsia"/>
        </w:rPr>
      </w:pPr>
      <w:r>
        <w:rPr>
          <w:rFonts w:hint="eastAsia"/>
        </w:rPr>
        <w:t>1.2监管评价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bookmarkStart w:id="0" w:name="OLE_LINK11"/>
      <w:bookmarkStart w:id="1" w:name="OLE_LINK12"/>
      <w:r>
        <w:rPr>
          <w:rFonts w:hint="eastAsia" w:ascii="宋体" w:hAnsi="宋体" w:eastAsia="宋体" w:cs="宋体"/>
          <w:sz w:val="21"/>
          <w:szCs w:val="21"/>
        </w:rPr>
        <w:t>（是否出现在监管机构的黑名单中）</w:t>
      </w:r>
    </w:p>
    <w:bookmarkEnd w:id="0"/>
    <w:bookmarkEnd w:id="1"/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（最近二年在政府或金融同业合作过程中是否受到处罚）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（是否存在未决诉讼）</w:t>
      </w:r>
    </w:p>
    <w:p>
      <w:pPr>
        <w:pStyle w:val="4"/>
        <w:bidi w:val="0"/>
        <w:rPr>
          <w:rFonts w:hint="eastAsia"/>
        </w:rPr>
      </w:pPr>
      <w:bookmarkStart w:id="2" w:name="OLE_LINK14"/>
      <w:bookmarkStart w:id="3" w:name="OLE_LINK13"/>
      <w:r>
        <w:rPr>
          <w:rFonts w:hint="eastAsia"/>
        </w:rPr>
        <w:t>1.3关联公司或附属机构信息</w:t>
      </w:r>
      <w:bookmarkEnd w:id="2"/>
      <w:bookmarkEnd w:id="3"/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bookmarkStart w:id="4" w:name="OLE_LINK26"/>
      <w:bookmarkStart w:id="5" w:name="OLE_LINK25"/>
      <w:bookmarkStart w:id="6" w:name="OLE_LINK24"/>
      <w:bookmarkStart w:id="7" w:name="OLE_LINK23"/>
      <w:r>
        <w:rPr>
          <w:rFonts w:hint="eastAsia" w:ascii="宋体" w:hAnsi="宋体" w:eastAsia="宋体" w:cs="宋体"/>
          <w:iCs/>
          <w:sz w:val="21"/>
          <w:szCs w:val="21"/>
        </w:rPr>
        <w:t>（关联公司或附属机构是否存在经营危机</w:t>
      </w:r>
      <w:bookmarkEnd w:id="4"/>
      <w:bookmarkEnd w:id="5"/>
      <w:r>
        <w:rPr>
          <w:rFonts w:hint="eastAsia" w:ascii="宋体" w:hAnsi="宋体" w:eastAsia="宋体" w:cs="宋体"/>
          <w:iCs/>
          <w:sz w:val="21"/>
          <w:szCs w:val="21"/>
        </w:rPr>
        <w:t>，该危机是否危及该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的正常经营）</w:t>
      </w:r>
    </w:p>
    <w:bookmarkEnd w:id="6"/>
    <w:bookmarkEnd w:id="7"/>
    <w:p>
      <w:pPr>
        <w:pStyle w:val="4"/>
        <w:bidi w:val="0"/>
        <w:rPr>
          <w:rFonts w:hint="eastAsia"/>
        </w:rPr>
      </w:pPr>
      <w:r>
        <w:rPr>
          <w:rFonts w:hint="eastAsia"/>
        </w:rPr>
        <w:t>1.4主要客户清单列表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（主要客户群体）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  <w:lang w:val="en-US" w:eastAsia="zh-CN"/>
        </w:rPr>
        <w:t>供应商</w:t>
      </w:r>
      <w:r>
        <w:rPr>
          <w:rFonts w:hint="eastAsia"/>
        </w:rPr>
        <w:t>持续经营能力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2.1财务情况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（近三年的财务报表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，</w:t>
      </w:r>
      <w:r>
        <w:rPr>
          <w:rFonts w:hint="eastAsia" w:ascii="宋体" w:hAnsi="宋体" w:cs="宋体"/>
          <w:iCs/>
          <w:sz w:val="21"/>
          <w:szCs w:val="21"/>
          <w:lang w:val="en-US" w:eastAsia="zh-CN"/>
        </w:rPr>
        <w:t>如有经审计的报表，优先提供</w:t>
      </w:r>
      <w:r>
        <w:rPr>
          <w:rFonts w:hint="eastAsia" w:ascii="宋体" w:hAnsi="宋体" w:eastAsia="宋体" w:cs="宋体"/>
          <w:iCs/>
          <w:sz w:val="21"/>
          <w:szCs w:val="21"/>
        </w:rPr>
        <w:t>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</w:p>
    <w:p>
      <w:pPr>
        <w:pStyle w:val="3"/>
        <w:bidi w:val="0"/>
        <w:rPr>
          <w:rFonts w:hint="eastAsia"/>
        </w:rPr>
      </w:pPr>
      <w:bookmarkStart w:id="8" w:name="OLE_LINK20"/>
      <w:bookmarkStart w:id="9" w:name="OLE_LINK19"/>
      <w:r>
        <w:rPr>
          <w:rFonts w:hint="eastAsia"/>
        </w:rPr>
        <w:t>三、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内部控制和管理能力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3.1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内控评估报告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/>
          <w:sz w:val="21"/>
          <w:szCs w:val="21"/>
        </w:rPr>
        <w:t xml:space="preserve"> </w:t>
      </w:r>
      <w:r>
        <w:rPr>
          <w:rFonts w:hint="eastAsia" w:ascii="宋体" w:hAnsi="宋体" w:eastAsia="宋体" w:cs="宋体"/>
          <w:iCs/>
          <w:sz w:val="21"/>
          <w:szCs w:val="21"/>
        </w:rPr>
        <w:t>（评估报告内容如覆盖以下3.2-3.6内容，则将评估报告内容对应填写至各个部分）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3.2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的组织结构</w:t>
      </w:r>
    </w:p>
    <w:p>
      <w:pPr>
        <w:snapToGrid w:val="0"/>
        <w:spacing w:line="288" w:lineRule="auto"/>
        <w:rPr>
          <w:rFonts w:hint="eastAsia" w:ascii="宋体" w:hAnsi="宋体" w:eastAsia="宋体" w:cs="宋体"/>
          <w:i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(内部控制部门，如是否建立了内部的使用工具的安全测试部门、内控部门、审计部门)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3.3 IT制度体系建设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（是否对其公司及项目的安全管理及流程管理建立了相应的制度）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（项目过程中的项目管理（PMO）体系，包括例会、沟通渠道等）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（服务质量控制方法）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3.4培训体系建设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（是否对其员工定期开展技术技能以及安全防范相关的培训，提供培训计划或培训材料）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3.5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人员离职率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（了解公司技术人员的离职率）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3.6IT风险管控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（包括对公司本身的IT风险管控及所承接外包项目的IT风险管控情况）</w:t>
      </w:r>
    </w:p>
    <w:bookmarkEnd w:id="8"/>
    <w:bookmarkEnd w:id="9"/>
    <w:p>
      <w:pPr>
        <w:pStyle w:val="3"/>
        <w:bidi w:val="0"/>
        <w:rPr>
          <w:rFonts w:hint="eastAsia"/>
        </w:rPr>
      </w:pPr>
      <w:r>
        <w:rPr>
          <w:rFonts w:hint="eastAsia"/>
        </w:rPr>
        <w:t>四、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信息技术能力</w:t>
      </w:r>
    </w:p>
    <w:p>
      <w:pPr>
        <w:pStyle w:val="4"/>
        <w:bidi w:val="0"/>
        <w:rPr>
          <w:rFonts w:hint="eastAsia" w:eastAsia="宋体"/>
          <w:lang w:val="en-US" w:eastAsia="zh-CN"/>
        </w:rPr>
      </w:pPr>
      <w:r>
        <w:rPr>
          <w:rFonts w:hint="eastAsia"/>
        </w:rPr>
        <w:t>4.1服务能力和技术</w:t>
      </w:r>
      <w:r>
        <w:rPr>
          <w:rFonts w:hint="eastAsia"/>
          <w:lang w:val="en-US" w:eastAsia="zh-CN"/>
        </w:rPr>
        <w:t>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的技术能力资质证明，专业认证等）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（描述使用的工作方法、应用软件、技术文档、评估模型、评估工具等使用情况、知识产权等）</w:t>
      </w:r>
    </w:p>
    <w:p>
      <w:pPr>
        <w:pStyle w:val="4"/>
        <w:bidi w:val="0"/>
        <w:rPr>
          <w:rFonts w:hint="eastAsia"/>
        </w:rPr>
      </w:pPr>
      <w:r>
        <w:rPr>
          <w:rFonts w:hint="eastAsia"/>
        </w:rPr>
        <w:t>4.2</w:t>
      </w:r>
      <w:r>
        <w:rPr>
          <w:rFonts w:hint="eastAsia"/>
          <w:lang w:val="en-US" w:eastAsia="zh-CN"/>
        </w:rPr>
        <w:t>项目</w:t>
      </w:r>
      <w:r>
        <w:rPr>
          <w:rFonts w:hint="eastAsia"/>
        </w:rPr>
        <w:t>经验与市场评价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</w:t>
      </w:r>
      <w:r>
        <w:rPr>
          <w:rFonts w:hint="eastAsia" w:ascii="宋体" w:hAnsi="宋体" w:cs="宋体"/>
          <w:iCs/>
          <w:sz w:val="21"/>
          <w:szCs w:val="21"/>
          <w:lang w:eastAsia="zh-CN"/>
        </w:rPr>
        <w:t>供应商</w:t>
      </w:r>
      <w:r>
        <w:rPr>
          <w:rFonts w:hint="eastAsia" w:ascii="宋体" w:hAnsi="宋体" w:eastAsia="宋体" w:cs="宋体"/>
          <w:iCs/>
          <w:sz w:val="21"/>
          <w:szCs w:val="21"/>
        </w:rPr>
        <w:t>主要的服务行业、主营业务、服务客户）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（类似的服务项目经验及项目合同证明材料）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>五、</w:t>
      </w:r>
      <w:r>
        <w:rPr>
          <w:rFonts w:hint="eastAsia"/>
          <w:lang w:eastAsia="zh-CN"/>
        </w:rPr>
        <w:t>供应商</w:t>
      </w:r>
      <w:r>
        <w:rPr>
          <w:rFonts w:hint="eastAsia"/>
        </w:rPr>
        <w:t>的网络和信息安全保障能力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（该项评估内容用于非驻场信息科技外包）</w:t>
      </w:r>
    </w:p>
    <w:p>
      <w:pPr>
        <w:snapToGrid w:val="0"/>
        <w:spacing w:line="288" w:lineRule="auto"/>
        <w:rPr>
          <w:rFonts w:hint="eastAsia" w:ascii="宋体" w:hAnsi="宋体" w:eastAsia="宋体" w:cs="宋体"/>
          <w:iCs/>
          <w:sz w:val="21"/>
          <w:szCs w:val="21"/>
        </w:rPr>
      </w:pPr>
      <w:r>
        <w:rPr>
          <w:rFonts w:hint="eastAsia" w:ascii="宋体" w:hAnsi="宋体" w:eastAsia="宋体" w:cs="宋体"/>
          <w:iCs/>
          <w:sz w:val="21"/>
          <w:szCs w:val="21"/>
        </w:rPr>
        <w:t>（描述内容可包括网络与信息安全管理体系建设情况、网络与信息安全技术防护体系建设情况、安全事件响应和恢复能力、实践经验等）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6402C4"/>
    <w:rsid w:val="09951216"/>
    <w:rsid w:val="356402C4"/>
    <w:rsid w:val="6375213F"/>
    <w:rsid w:val="6A21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Times New Roman" w:hAnsi="Times New Roman" w:eastAsia="黑体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qFormat/>
    <w:uiPriority w:val="0"/>
    <w:pPr>
      <w:spacing w:after="120" w:line="480" w:lineRule="auto"/>
      <w:ind w:firstLine="0" w:firstLineChars="0"/>
    </w:pPr>
    <w:rPr>
      <w:szCs w:val="24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2025-03-18T06:38:00Z</dcterms:created>
  <dc:creator>包诚</dc:creator>
  <cp:lastModifiedBy>admin</cp:lastModifiedBy>
  <dcterms:modified xsi:type="dcterms:W3CDTF">2026-09-28T02:51:00Z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7912C708729A430E8B8C43912BA7247F</vt:lpwstr>
  </property>
</Properties>
</file>