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w:t>
      </w:r>
      <w:r>
        <w:rPr>
          <w:rFonts w:hint="eastAsia" w:ascii="黑体" w:eastAsia="黑体"/>
          <w:sz w:val="30"/>
          <w:szCs w:val="30"/>
          <w:highlight w:val="none"/>
          <w:lang w:eastAsia="zh-CN"/>
        </w:rPr>
        <w:t>温银理财</w:t>
      </w:r>
      <w:r>
        <w:rPr>
          <w:rFonts w:hint="eastAsia" w:ascii="黑体" w:eastAsia="黑体"/>
          <w:sz w:val="30"/>
          <w:szCs w:val="30"/>
          <w:highlight w:val="none"/>
        </w:rPr>
        <w:t>-普惠季享”</w:t>
      </w:r>
      <w:r>
        <w:rPr>
          <w:rFonts w:ascii="黑体" w:eastAsia="黑体"/>
          <w:color w:val="000000"/>
          <w:sz w:val="30"/>
          <w:szCs w:val="30"/>
          <w:highlight w:val="none"/>
          <w:u w:val="single"/>
        </w:rPr>
        <w:t>26036</w:t>
      </w:r>
      <w:r>
        <w:rPr>
          <w:rFonts w:hint="eastAsia" w:ascii="黑体" w:eastAsia="黑体"/>
          <w:sz w:val="30"/>
          <w:szCs w:val="30"/>
          <w:highlight w:val="none"/>
        </w:rPr>
        <w:t>号（稳健低波款）</w:t>
      </w:r>
    </w:p>
    <w:p>
      <w:pPr>
        <w:spacing w:line="372" w:lineRule="auto"/>
        <w:jc w:val="center"/>
        <w:rPr>
          <w:rFonts w:ascii="宋体" w:hAnsi="宋体"/>
          <w:sz w:val="30"/>
          <w:szCs w:val="30"/>
          <w:highlight w:val="none"/>
        </w:rPr>
      </w:pP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w:t>
      </w:r>
      <w:r>
        <w:rPr>
          <w:rFonts w:hint="eastAsia"/>
          <w:szCs w:val="21"/>
          <w:highlight w:val="none"/>
          <w:lang w:eastAsia="zh-CN"/>
        </w:rPr>
        <w:t>温银理财</w:t>
      </w:r>
      <w:r>
        <w:rPr>
          <w:rFonts w:hint="eastAsia" w:ascii="宋体" w:hAnsi="宋体"/>
          <w:szCs w:val="21"/>
          <w:highlight w:val="none"/>
        </w:rPr>
        <w:t>-</w:t>
      </w:r>
      <w:r>
        <w:rPr>
          <w:rFonts w:hint="eastAsia"/>
          <w:szCs w:val="21"/>
          <w:highlight w:val="none"/>
        </w:rPr>
        <w:t>普惠季享”</w:t>
      </w:r>
      <w:r>
        <w:rPr>
          <w:color w:val="000000"/>
          <w:szCs w:val="21"/>
          <w:highlight w:val="none"/>
          <w:u w:val="single"/>
        </w:rPr>
        <w:t>26036</w:t>
      </w:r>
      <w:r>
        <w:rPr>
          <w:rFonts w:hint="eastAsia"/>
          <w:szCs w:val="21"/>
          <w:highlight w:val="none"/>
        </w:rPr>
        <w:t>号（稳健低波款）银行理财计划，投资类型属于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u w:val="single"/>
          <w:lang w:val="en-US" w:eastAsia="zh-CN"/>
        </w:rPr>
        <w:t>396</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26036</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26036</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7"/>
        <w:adjustRightInd w:val="0"/>
        <w:snapToGrid w:val="0"/>
        <w:spacing w:before="0" w:beforeAutospacing="0" w:after="0" w:afterAutospacing="0" w:line="360" w:lineRule="auto"/>
        <w:jc w:val="center"/>
        <w:rPr>
          <w:rFonts w:ascii="黑体" w:eastAsia="黑体"/>
          <w:bCs/>
          <w:sz w:val="30"/>
          <w:szCs w:val="30"/>
          <w:highlight w:val="none"/>
        </w:rPr>
      </w:pPr>
    </w:p>
    <w:p>
      <w:pPr>
        <w:adjustRightInd w:val="0"/>
        <w:snapToGrid w:val="0"/>
        <w:spacing w:before="0" w:beforeAutospacing="0" w:after="0" w:afterAutospacing="0" w:line="360" w:lineRule="auto"/>
        <w:jc w:val="center"/>
        <w:rPr>
          <w:rFonts w:hint="eastAsia" w:ascii="黑体" w:eastAsia="黑体"/>
          <w:bCs/>
          <w:sz w:val="30"/>
          <w:szCs w:val="30"/>
          <w:highlight w:val="none"/>
        </w:rPr>
      </w:pPr>
      <w:r>
        <w:rPr>
          <w:rFonts w:hint="eastAsia" w:ascii="黑体" w:eastAsia="黑体"/>
          <w:bCs/>
          <w:sz w:val="30"/>
          <w:szCs w:val="30"/>
          <w:highlight w:val="none"/>
        </w:rPr>
        <w:br w:type="page"/>
      </w:r>
    </w:p>
    <w:p>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w:t>
      </w:r>
      <w:r>
        <w:rPr>
          <w:rFonts w:hint="eastAsia" w:ascii="黑体" w:eastAsia="黑体"/>
          <w:bCs/>
          <w:sz w:val="30"/>
          <w:szCs w:val="30"/>
          <w:highlight w:val="none"/>
          <w:lang w:eastAsia="zh-CN"/>
        </w:rPr>
        <w:t>温银理财</w:t>
      </w:r>
      <w:r>
        <w:rPr>
          <w:rFonts w:hint="eastAsia" w:ascii="黑体" w:eastAsia="黑体"/>
          <w:bCs/>
          <w:sz w:val="30"/>
          <w:szCs w:val="30"/>
          <w:highlight w:val="none"/>
        </w:rPr>
        <w:t>-普惠季享”</w:t>
      </w:r>
      <w:r>
        <w:rPr>
          <w:rFonts w:ascii="黑体" w:eastAsia="黑体"/>
          <w:color w:val="000000"/>
          <w:sz w:val="30"/>
          <w:szCs w:val="30"/>
          <w:highlight w:val="none"/>
          <w:u w:val="single"/>
        </w:rPr>
        <w:t>26036</w:t>
      </w:r>
      <w:r>
        <w:rPr>
          <w:rFonts w:hint="eastAsia" w:ascii="黑体" w:eastAsia="黑体"/>
          <w:bCs/>
          <w:sz w:val="30"/>
          <w:szCs w:val="30"/>
          <w:highlight w:val="none"/>
        </w:rPr>
        <w:t>号（稳健低波款）</w:t>
      </w:r>
    </w:p>
    <w:p>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本产品适合于经温州银行评估为稳健型、平衡型、进取型、激进型的个人投资者。</w:t>
      </w:r>
    </w:p>
    <w:p>
      <w:pPr>
        <w:adjustRightInd w:val="0"/>
        <w:snapToGrid w:val="0"/>
        <w:spacing w:line="300"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w:t>
      </w:r>
      <w:r>
        <w:rPr>
          <w:rFonts w:hint="eastAsia"/>
          <w:sz w:val="18"/>
          <w:szCs w:val="18"/>
          <w:highlight w:val="none"/>
          <w:lang w:eastAsia="zh-CN"/>
        </w:rPr>
        <w:t>温银理财</w:t>
      </w:r>
      <w:r>
        <w:rPr>
          <w:rFonts w:hint="eastAsia" w:ascii="宋体" w:hAnsi="宋体"/>
          <w:sz w:val="18"/>
          <w:szCs w:val="18"/>
          <w:highlight w:val="none"/>
        </w:rPr>
        <w:t>-</w:t>
      </w:r>
      <w:r>
        <w:rPr>
          <w:rFonts w:hint="eastAsia"/>
          <w:sz w:val="18"/>
          <w:szCs w:val="18"/>
          <w:highlight w:val="none"/>
        </w:rPr>
        <w:t>普惠季享”</w:t>
      </w:r>
      <w:r>
        <w:rPr>
          <w:color w:val="000000"/>
          <w:sz w:val="18"/>
          <w:szCs w:val="18"/>
          <w:highlight w:val="none"/>
        </w:rPr>
        <w:t>26036</w:t>
      </w:r>
      <w:r>
        <w:rPr>
          <w:rFonts w:hint="eastAsia"/>
          <w:sz w:val="18"/>
          <w:szCs w:val="18"/>
          <w:highlight w:val="none"/>
        </w:rPr>
        <w:t>号（稳健低波款）银行理财计划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lang w:eastAsia="zh-CN"/>
              </w:rPr>
              <w:t>温银理财</w:t>
            </w:r>
            <w:r>
              <w:rPr>
                <w:sz w:val="18"/>
                <w:szCs w:val="18"/>
                <w:highlight w:val="none"/>
              </w:rPr>
              <w:t>-</w:t>
            </w:r>
            <w:r>
              <w:rPr>
                <w:rFonts w:hint="eastAsia"/>
                <w:sz w:val="18"/>
                <w:szCs w:val="18"/>
                <w:highlight w:val="none"/>
              </w:rPr>
              <w:t>普惠季享</w:t>
            </w:r>
            <w:r>
              <w:rPr>
                <w:sz w:val="18"/>
                <w:szCs w:val="18"/>
                <w:highlight w:val="none"/>
              </w:rPr>
              <w:t>”</w:t>
            </w:r>
            <w:r>
              <w:rPr>
                <w:color w:val="000000"/>
                <w:sz w:val="18"/>
                <w:szCs w:val="18"/>
                <w:highlight w:val="none"/>
                <w:u w:val="single"/>
              </w:rPr>
              <w:t>26036</w:t>
            </w:r>
            <w:r>
              <w:rPr>
                <w:sz w:val="18"/>
                <w:szCs w:val="18"/>
                <w:highlight w:val="none"/>
              </w:rPr>
              <w:t>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JW2636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C1092226000064</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396</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发售规模不超过20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color w:val="000000"/>
                <w:sz w:val="18"/>
                <w:highlight w:val="none"/>
                <w:u w:val="single"/>
              </w:rPr>
              <w:t>2026年10月8日</w:t>
            </w:r>
            <w:r>
              <w:rPr>
                <w:rFonts w:hint="eastAsia"/>
                <w:sz w:val="18"/>
                <w:highlight w:val="none"/>
                <w:u w:val="single"/>
              </w:rPr>
              <w:t>至</w:t>
            </w:r>
            <w:r>
              <w:rPr>
                <w:color w:val="000000"/>
                <w:sz w:val="18"/>
                <w:highlight w:val="none"/>
                <w:u w:val="single"/>
              </w:rPr>
              <w:t>2026年10月14日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2026年10月15日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highlight w:val="none"/>
                <w:u w:val="single"/>
              </w:rPr>
            </w:pPr>
            <w:r>
              <w:rPr>
                <w:rFonts w:hint="eastAsia"/>
                <w:color w:val="000000"/>
                <w:sz w:val="18"/>
                <w:szCs w:val="24"/>
                <w:u w:val="single"/>
                <w:lang w:val="en-US" w:eastAsia="zh-CN"/>
              </w:rPr>
              <w:t>2027年11月15日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lang w:val="en-US" w:eastAsia="zh-CN"/>
              </w:rPr>
              <w:t>2.40%</w:t>
            </w:r>
            <w:r>
              <w:rPr>
                <w:rFonts w:hint="eastAsia"/>
                <w:sz w:val="18"/>
                <w:szCs w:val="18"/>
                <w:highlight w:val="none"/>
              </w:rPr>
              <w:t>（年化）</w:t>
            </w:r>
          </w:p>
          <w:p>
            <w:pPr>
              <w:adjustRightInd w:val="0"/>
              <w:snapToGrid w:val="0"/>
              <w:spacing w:line="288" w:lineRule="auto"/>
              <w:jc w:val="left"/>
              <w:rPr>
                <w:sz w:val="18"/>
                <w:szCs w:val="18"/>
                <w:highlight w:val="none"/>
              </w:rPr>
            </w:pPr>
            <w:r>
              <w:rPr>
                <w:rFonts w:hint="eastAsia"/>
                <w:sz w:val="18"/>
                <w:szCs w:val="18"/>
                <w:highlight w:val="none"/>
              </w:rPr>
              <w:t>本产品为净值型理财产品，其业绩表现将随市场波动具有不确定性。</w:t>
            </w:r>
            <w:r>
              <w:rPr>
                <w:rFonts w:hint="eastAsia"/>
                <w:b/>
                <w:bCs/>
                <w:sz w:val="18"/>
                <w:szCs w:val="18"/>
                <w:highlight w:val="none"/>
              </w:rPr>
              <w:t>业绩比较基准/过往业绩不是预期收益率，不代表产品的未来表现和实际收益，不构成对产品收益的承诺。</w:t>
            </w:r>
            <w:r>
              <w:rPr>
                <w:rFonts w:hint="eastAsia"/>
                <w:sz w:val="18"/>
                <w:szCs w:val="18"/>
                <w:highlight w:val="none"/>
              </w:rPr>
              <w:t>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highlight w:val="none"/>
              </w:rPr>
            </w:pPr>
            <w:r>
              <w:rPr>
                <w:rFonts w:hint="eastAsia" w:ascii="宋体" w:hAnsi="宋体"/>
                <w:sz w:val="18"/>
                <w:szCs w:val="18"/>
                <w:highlight w:val="none"/>
                <w:lang w:eastAsia="zh-CN"/>
              </w:rPr>
              <w:t>单一投资者持有份额最高不超2000万，</w:t>
            </w:r>
            <w:r>
              <w:rPr>
                <w:rFonts w:hint="eastAsia" w:ascii="宋体" w:hAnsi="宋体"/>
                <w:sz w:val="18"/>
                <w:szCs w:val="18"/>
                <w:highlight w:val="none"/>
                <w:lang w:val="en-US" w:eastAsia="zh-CN"/>
              </w:rPr>
              <w:t>且</w:t>
            </w:r>
            <w:r>
              <w:rPr>
                <w:rFonts w:hint="eastAsia" w:ascii="宋体" w:hAnsi="宋体"/>
                <w:sz w:val="18"/>
                <w:szCs w:val="18"/>
                <w:highlight w:val="none"/>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温州银行将在温州银行官方网站或电子银行等信息平台定期披露产品资产净值、份额净值</w:t>
            </w:r>
            <w:r>
              <w:rPr>
                <w:rFonts w:hint="eastAsia"/>
                <w:sz w:val="18"/>
                <w:szCs w:val="18"/>
                <w:highlight w:val="none"/>
                <w:lang w:eastAsia="zh-CN"/>
              </w:rPr>
              <w:t>、</w:t>
            </w:r>
            <w:r>
              <w:rPr>
                <w:rFonts w:hint="eastAsia"/>
                <w:sz w:val="18"/>
                <w:szCs w:val="18"/>
                <w:highlight w:val="none"/>
                <w:lang w:val="en-US" w:eastAsia="zh-CN"/>
              </w:rPr>
              <w:t>份额累计净值</w:t>
            </w:r>
            <w:r>
              <w:rPr>
                <w:rFonts w:hint="eastAsia"/>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highlight w:val="none"/>
              </w:rPr>
            </w:pPr>
            <w:r>
              <w:rPr>
                <w:rFonts w:hint="eastAsia"/>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w:t>
            </w:r>
            <w:r>
              <w:rPr>
                <w:rFonts w:hint="eastAsia"/>
                <w:sz w:val="18"/>
                <w:szCs w:val="18"/>
                <w:highlight w:val="none"/>
                <w:lang w:val="en-US" w:eastAsia="zh-CN"/>
              </w:rPr>
              <w:t>资金</w:t>
            </w:r>
            <w:r>
              <w:rPr>
                <w:rFonts w:hint="eastAsia"/>
                <w:sz w:val="18"/>
                <w:szCs w:val="18"/>
                <w:highlight w:val="none"/>
              </w:rPr>
              <w:t>清算期，</w:t>
            </w:r>
            <w:r>
              <w:rPr>
                <w:rFonts w:hint="eastAsia"/>
                <w:sz w:val="18"/>
                <w:szCs w:val="18"/>
                <w:highlight w:val="none"/>
                <w:lang w:val="en-US" w:eastAsia="zh-CN"/>
              </w:rPr>
              <w:t>资金</w:t>
            </w:r>
            <w:r>
              <w:rPr>
                <w:rFonts w:hint="eastAsia"/>
                <w:sz w:val="18"/>
                <w:szCs w:val="18"/>
                <w:highlight w:val="none"/>
              </w:rPr>
              <w:t>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rFonts w:hint="eastAsia"/>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5" w:lineRule="auto"/>
        <w:rPr>
          <w:sz w:val="18"/>
          <w:szCs w:val="18"/>
          <w:highlight w:val="none"/>
        </w:rPr>
      </w:pPr>
      <w:r>
        <w:rPr>
          <w:rFonts w:hint="eastAsia" w:ascii="宋体" w:hAnsi="宋体"/>
          <w:b/>
          <w:bCs/>
          <w:sz w:val="18"/>
          <w:szCs w:val="18"/>
          <w:highlight w:val="none"/>
        </w:rPr>
        <w:t>投资合作机构</w:t>
      </w:r>
    </w:p>
    <w:p>
      <w:pPr>
        <w:adjustRightInd w:val="0"/>
        <w:snapToGrid w:val="0"/>
        <w:spacing w:line="280" w:lineRule="auto"/>
        <w:rPr>
          <w:sz w:val="18"/>
          <w:szCs w:val="18"/>
          <w:highlight w:val="none"/>
        </w:rPr>
      </w:pPr>
      <w:r>
        <w:rPr>
          <w:rFonts w:hint="eastAsia" w:ascii="宋体" w:hAnsi="宋体"/>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18"/>
          <w:rFonts w:hint="eastAsia" w:ascii="宋体" w:hAnsi="宋体"/>
          <w:sz w:val="18"/>
          <w:szCs w:val="18"/>
          <w:highlight w:val="none"/>
        </w:rPr>
        <w:t>www.wzbank.cn</w:t>
      </w:r>
      <w:r>
        <w:rPr>
          <w:rStyle w:val="18"/>
          <w:rFonts w:hint="eastAsia"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b/>
          <w:bCs/>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w:t>
      </w:r>
      <w:r>
        <w:rPr>
          <w:rFonts w:hint="eastAsia"/>
          <w:sz w:val="18"/>
          <w:szCs w:val="18"/>
          <w:highlight w:val="none"/>
        </w:rPr>
        <w:t xml:space="preserve">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【估值原则】</w:t>
      </w:r>
    </w:p>
    <w:p>
      <w:pPr>
        <w:adjustRightInd w:val="0"/>
        <w:snapToGrid w:val="0"/>
        <w:spacing w:line="286" w:lineRule="auto"/>
        <w:rPr>
          <w:rFonts w:hint="eastAsia"/>
          <w:sz w:val="18"/>
          <w:szCs w:val="18"/>
          <w:highlight w:val="none"/>
        </w:rPr>
      </w:pPr>
      <w:r>
        <w:rPr>
          <w:rFonts w:hint="eastAsia"/>
          <w:sz w:val="18"/>
          <w:szCs w:val="18"/>
          <w:highlight w:val="none"/>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eastAsia"/>
          <w:sz w:val="18"/>
          <w:szCs w:val="18"/>
          <w:highlight w:val="none"/>
        </w:rPr>
      </w:pPr>
      <w:r>
        <w:rPr>
          <w:rFonts w:hint="eastAsia"/>
          <w:sz w:val="18"/>
          <w:szCs w:val="18"/>
          <w:highlight w:val="none"/>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市场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4、其他资产：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5、其他事项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highlight w:val="none"/>
        </w:rPr>
      </w:pPr>
      <w:r>
        <w:rPr>
          <w:rFonts w:hint="eastAsia" w:ascii="宋体" w:hAnsi="宋体"/>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szCs w:val="18"/>
        </w:rPr>
        <w:t>2.40%</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eastAsia"/>
          <w:color w:val="000000"/>
          <w:sz w:val="18"/>
        </w:rPr>
        <w:t>2027年11月15日</w:t>
      </w:r>
      <w:r>
        <w:rPr>
          <w:rFonts w:hint="eastAsia"/>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（1）本理财产品到期日（提前/延期终止日）</w:t>
      </w:r>
      <w:r>
        <w:rPr>
          <w:rFonts w:hint="eastAsia"/>
          <w:sz w:val="18"/>
          <w:szCs w:val="18"/>
          <w:highlight w:val="none"/>
          <w:lang w:val="en-US" w:eastAsia="zh-CN"/>
        </w:rPr>
        <w:t>投资者理财收益</w:t>
      </w:r>
      <w:r>
        <w:rPr>
          <w:rFonts w:hint="eastAsia"/>
          <w:sz w:val="18"/>
          <w:szCs w:val="18"/>
          <w:highlight w:val="none"/>
        </w:rPr>
        <w:t>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rFonts w:hint="eastAsia"/>
          <w:sz w:val="18"/>
          <w:szCs w:val="18"/>
          <w:lang w:val="en-US" w:eastAsia="zh-CN"/>
        </w:rPr>
        <w:t>6</w:t>
      </w:r>
      <w:r>
        <w:rPr>
          <w:rFonts w:hint="eastAsia"/>
          <w:sz w:val="18"/>
          <w:szCs w:val="18"/>
        </w:rPr>
        <w:t>天。假设产品业绩比较基准为2.4%。到期时扣除托管费、销售服务费、固定管理费及其他费用（如有）后，如产品净值为1.028，此时， (1.028/1.00-1)×365/39</w:t>
      </w:r>
      <w:r>
        <w:rPr>
          <w:rFonts w:hint="eastAsia"/>
          <w:sz w:val="18"/>
          <w:szCs w:val="18"/>
          <w:lang w:val="en-US" w:eastAsia="zh-CN"/>
        </w:rPr>
        <w:t>6</w:t>
      </w:r>
      <w:r>
        <w:rPr>
          <w:rFonts w:hint="eastAsia"/>
          <w:sz w:val="18"/>
          <w:szCs w:val="18"/>
        </w:rPr>
        <w:t>=2.5</w:t>
      </w:r>
      <w:r>
        <w:rPr>
          <w:rFonts w:hint="eastAsia"/>
          <w:sz w:val="18"/>
          <w:szCs w:val="18"/>
          <w:lang w:val="en-US" w:eastAsia="zh-CN"/>
        </w:rPr>
        <w:t>8</w:t>
      </w:r>
      <w:r>
        <w:rPr>
          <w:rFonts w:hint="eastAsia"/>
          <w:sz w:val="18"/>
          <w:szCs w:val="18"/>
        </w:rPr>
        <w:t>%&gt;2.4%，即投资收益超越业绩比较基准，则投资管理人对超过业绩比较基准部分收益收取浮动管理费，浮动管理费为：1,000,000.00×[1.028-1.00×(1+2.4%×39</w:t>
      </w:r>
      <w:r>
        <w:rPr>
          <w:rFonts w:hint="eastAsia"/>
          <w:sz w:val="18"/>
          <w:szCs w:val="18"/>
          <w:lang w:val="en-US" w:eastAsia="zh-CN"/>
        </w:rPr>
        <w:t>6</w:t>
      </w:r>
      <w:r>
        <w:rPr>
          <w:rFonts w:hint="eastAsia"/>
          <w:sz w:val="18"/>
          <w:szCs w:val="18"/>
        </w:rPr>
        <w:t>/365)]×80%=</w:t>
      </w:r>
      <w:r>
        <w:rPr>
          <w:rFonts w:hint="eastAsia"/>
          <w:sz w:val="18"/>
          <w:szCs w:val="18"/>
          <w:lang w:val="en-US" w:eastAsia="zh-CN"/>
        </w:rPr>
        <w:t>1569.32</w:t>
      </w:r>
      <w:r>
        <w:rPr>
          <w:rFonts w:hint="eastAsia"/>
          <w:sz w:val="18"/>
          <w:szCs w:val="18"/>
        </w:rPr>
        <w:t>（元）。扣除浮动管理费后，客户最终收益为：1,000,000.00×（1.028-1.00）-</w:t>
      </w:r>
      <w:r>
        <w:rPr>
          <w:rFonts w:hint="eastAsia"/>
          <w:sz w:val="18"/>
          <w:szCs w:val="18"/>
          <w:lang w:val="en-US" w:eastAsia="zh-CN"/>
        </w:rPr>
        <w:t>1569.32</w:t>
      </w:r>
      <w:r>
        <w:rPr>
          <w:rFonts w:hint="eastAsia"/>
          <w:sz w:val="18"/>
          <w:szCs w:val="18"/>
        </w:rPr>
        <w:t>=2</w:t>
      </w:r>
      <w:r>
        <w:rPr>
          <w:rFonts w:hint="eastAsia"/>
          <w:sz w:val="18"/>
          <w:szCs w:val="18"/>
          <w:lang w:val="en-US" w:eastAsia="zh-CN"/>
        </w:rPr>
        <w:t>6430.68</w:t>
      </w:r>
      <w:r>
        <w:rPr>
          <w:rFonts w:hint="eastAsia"/>
          <w:sz w:val="18"/>
          <w:szCs w:val="18"/>
        </w:rPr>
        <w:t>（元），产品到期时，客户获得的实际收益相当于达到年化收益率水平为：2</w:t>
      </w:r>
      <w:r>
        <w:rPr>
          <w:rFonts w:hint="eastAsia"/>
          <w:sz w:val="18"/>
          <w:szCs w:val="18"/>
          <w:lang w:val="en-US" w:eastAsia="zh-CN"/>
        </w:rPr>
        <w:t>6430.68</w:t>
      </w:r>
      <w:r>
        <w:rPr>
          <w:rFonts w:hint="eastAsia"/>
          <w:sz w:val="18"/>
          <w:szCs w:val="18"/>
        </w:rPr>
        <w:t>/1,000,000.00×365/39</w:t>
      </w:r>
      <w:r>
        <w:rPr>
          <w:rFonts w:hint="eastAsia"/>
          <w:sz w:val="18"/>
          <w:szCs w:val="18"/>
          <w:lang w:val="en-US" w:eastAsia="zh-CN"/>
        </w:rPr>
        <w:t>6</w:t>
      </w:r>
      <w:r>
        <w:rPr>
          <w:rFonts w:hint="eastAsia"/>
          <w:sz w:val="18"/>
          <w:szCs w:val="18"/>
        </w:rPr>
        <w:t>=2.4</w:t>
      </w:r>
      <w:r>
        <w:rPr>
          <w:rFonts w:hint="eastAsia"/>
          <w:sz w:val="18"/>
          <w:szCs w:val="18"/>
          <w:lang w:val="en-US" w:eastAsia="zh-CN"/>
        </w:rPr>
        <w:t>4</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rFonts w:hint="eastAsia"/>
          <w:sz w:val="18"/>
          <w:szCs w:val="18"/>
          <w:lang w:val="en-US" w:eastAsia="zh-CN"/>
        </w:rPr>
        <w:t>6</w:t>
      </w:r>
      <w:r>
        <w:rPr>
          <w:rFonts w:hint="eastAsia"/>
          <w:sz w:val="18"/>
          <w:szCs w:val="18"/>
        </w:rPr>
        <w:t>天。假设产品业绩比较基准为2.4%。到期时扣除托管费、销售服务费、固定管理费及其他费用（如有）后，如产品净值为1.025，此时，(1.025/1.00-1)×365/39</w:t>
      </w:r>
      <w:r>
        <w:rPr>
          <w:rFonts w:hint="eastAsia"/>
          <w:sz w:val="18"/>
          <w:szCs w:val="18"/>
          <w:lang w:val="en-US" w:eastAsia="zh-CN"/>
        </w:rPr>
        <w:t>6</w:t>
      </w:r>
      <w:r>
        <w:rPr>
          <w:rFonts w:hint="eastAsia"/>
          <w:sz w:val="18"/>
          <w:szCs w:val="18"/>
        </w:rPr>
        <w:t>=2.</w:t>
      </w:r>
      <w:r>
        <w:rPr>
          <w:rFonts w:hint="eastAsia"/>
          <w:sz w:val="18"/>
          <w:szCs w:val="18"/>
          <w:lang w:val="en-US" w:eastAsia="zh-CN"/>
        </w:rPr>
        <w:t>3</w:t>
      </w:r>
      <w:r>
        <w:rPr>
          <w:rFonts w:hint="eastAsia"/>
          <w:sz w:val="18"/>
          <w:szCs w:val="18"/>
        </w:rPr>
        <w:t>%&lt;2.4%，即投资收益未达到业绩比较基准，则投资管理人不收取浮动管理费，客户最终收益为：1,000,000.00×(1.025-1.00）=25000（元）。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highlight w:val="none"/>
          <w:lang w:eastAsia="zh-CN"/>
        </w:rPr>
      </w:pPr>
      <w:r>
        <w:rPr>
          <w:rFonts w:hint="eastAsia"/>
          <w:sz w:val="18"/>
          <w:szCs w:val="18"/>
        </w:rPr>
        <w:t>以某客户投资100万元为例，购买时产品净值为1.00元，折算份额为1,000,000.00份，理财期限为39</w:t>
      </w:r>
      <w:r>
        <w:rPr>
          <w:rFonts w:hint="eastAsia"/>
          <w:sz w:val="18"/>
          <w:szCs w:val="18"/>
          <w:lang w:val="en-US" w:eastAsia="zh-CN"/>
        </w:rPr>
        <w:t>6</w:t>
      </w:r>
      <w:r>
        <w:rPr>
          <w:rFonts w:hint="eastAsia"/>
          <w:sz w:val="18"/>
          <w:szCs w:val="18"/>
        </w:rPr>
        <w:t>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终止理财计划，此时投资者的理财收益仍按照上述“投资者所得收益”条款中的计算公式计算。</w:t>
      </w:r>
    </w:p>
    <w:p>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1、收益的构成</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2、收益分配的原则</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rPr>
        <w:t>（</w:t>
      </w:r>
      <w:r>
        <w:rPr>
          <w:rFonts w:hint="eastAsia"/>
          <w:sz w:val="18"/>
          <w:szCs w:val="18"/>
          <w:highlight w:val="none"/>
          <w:lang w:eastAsia="zh-CN"/>
        </w:rPr>
        <w:t>2</w:t>
      </w:r>
      <w:r>
        <w:rPr>
          <w:rFonts w:hint="eastAsia"/>
          <w:sz w:val="18"/>
          <w:szCs w:val="18"/>
          <w:highlight w:val="none"/>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1）期间分配：在理财产品存续期内，产品管理人有权视理财产品收益情况进行主动分配。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2）终止分配：在理财计划终止时，产品管理人按照本理财计划产品说明书约定计算投资者收益后进行分配。</w:t>
      </w:r>
    </w:p>
    <w:p>
      <w:pPr>
        <w:numPr>
          <w:ilvl w:val="-1"/>
          <w:numId w:val="0"/>
        </w:num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（3）本理财计划收益分配方式为现金分配。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投资者持有本理财计划期间，温州银行不承诺保证本金安全且不保证理财收益，投资者应得收益（如有）随投资盈亏水平浮动。</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3、收益分配方案的确定与披露</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本理财计划收益分配方案由产品管理人拟定，至少在分配日前1个工作日进行公告，理财计划产品说明书对收益分配方案已有约定的除外。</w:t>
      </w:r>
    </w:p>
    <w:p>
      <w:pPr>
        <w:numPr>
          <w:ilvl w:val="-1"/>
          <w:numId w:val="0"/>
        </w:numPr>
        <w:adjustRightInd w:val="0"/>
        <w:snapToGrid w:val="0"/>
        <w:spacing w:line="286" w:lineRule="auto"/>
        <w:rPr>
          <w:sz w:val="18"/>
          <w:szCs w:val="18"/>
          <w:highlight w:val="none"/>
        </w:rPr>
      </w:pPr>
      <w:r>
        <w:rPr>
          <w:rFonts w:hint="eastAsia"/>
          <w:b/>
          <w:bCs/>
          <w:sz w:val="18"/>
          <w:szCs w:val="18"/>
          <w:highlight w:val="none"/>
          <w:lang w:val="en-US" w:eastAsia="zh-CN"/>
        </w:rPr>
        <w:t>理财终止清算</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如果温州银行提前终止理财计划，理财到期日也相应提前到理财计划实际终止日。</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w:t>
      </w:r>
      <w:r>
        <w:rPr>
          <w:rFonts w:hint="eastAsia"/>
          <w:sz w:val="18"/>
          <w:szCs w:val="18"/>
          <w:highlight w:val="none"/>
          <w:lang w:val="en-US" w:eastAsia="zh-CN"/>
        </w:rPr>
        <w:t>净值型</w:t>
      </w:r>
      <w:r>
        <w:rPr>
          <w:rFonts w:hint="eastAsia"/>
          <w:sz w:val="18"/>
          <w:szCs w:val="18"/>
          <w:highlight w:val="none"/>
        </w:rPr>
        <w:t>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sz w:val="18"/>
          <w:szCs w:val="18"/>
          <w:highlight w:val="none"/>
        </w:rPr>
        <w:t>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6"/>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封闭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如遇非工作日顺延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highlight w:val="none"/>
        </w:rPr>
      </w:pPr>
      <w:r>
        <w:rPr>
          <w:rFonts w:hint="eastAsia"/>
          <w:bCs/>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3</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highlight w:val="none"/>
        </w:rPr>
      </w:pPr>
      <w:r>
        <w:rPr>
          <w:rFonts w:hint="eastAsia"/>
          <w:b/>
          <w:bCs/>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w:t>
      </w:r>
      <w:r>
        <w:rPr>
          <w:rFonts w:hint="eastAsia"/>
          <w:sz w:val="18"/>
          <w:szCs w:val="18"/>
          <w:highlight w:val="none"/>
          <w:lang w:eastAsia="zh-CN"/>
        </w:rPr>
        <w:t>温银理财</w:t>
      </w:r>
      <w:r>
        <w:rPr>
          <w:rFonts w:hint="eastAsia"/>
          <w:sz w:val="18"/>
          <w:szCs w:val="18"/>
          <w:highlight w:val="none"/>
        </w:rPr>
        <w:t>-普惠季享”</w:t>
      </w:r>
      <w:r>
        <w:rPr>
          <w:color w:val="000000"/>
          <w:sz w:val="18"/>
          <w:szCs w:val="18"/>
          <w:highlight w:val="none"/>
        </w:rPr>
        <w:t>26036</w:t>
      </w:r>
      <w:r>
        <w:rPr>
          <w:rFonts w:hint="eastAsia"/>
          <w:sz w:val="18"/>
          <w:szCs w:val="18"/>
          <w:highlight w:val="none"/>
        </w:rPr>
        <w:t>号（稳健低波款）银行理财计划风险揭示书》、《温州银行理财计划合约》和《温州银行理财产品投资者权益须知》等销售文件中的内容与本产品说明书不一致的，以本产品说明书约定的内容为准。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Yy/Eml4GIDietv2cvEL4V84/+ec=" w:salt="VTEAamEc9EY+yao39sCoS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5F0FFC"/>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17434"/>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4D1D6F"/>
    <w:rsid w:val="018C5462"/>
    <w:rsid w:val="01B25DFE"/>
    <w:rsid w:val="020D5912"/>
    <w:rsid w:val="035A360D"/>
    <w:rsid w:val="03C64591"/>
    <w:rsid w:val="04752421"/>
    <w:rsid w:val="04BB3044"/>
    <w:rsid w:val="05FC0197"/>
    <w:rsid w:val="06F87141"/>
    <w:rsid w:val="07425D93"/>
    <w:rsid w:val="07BB40C7"/>
    <w:rsid w:val="07C843AC"/>
    <w:rsid w:val="08D8385A"/>
    <w:rsid w:val="08EF38EC"/>
    <w:rsid w:val="09446D7E"/>
    <w:rsid w:val="098062CC"/>
    <w:rsid w:val="0A0F12B9"/>
    <w:rsid w:val="0A1675AA"/>
    <w:rsid w:val="0A887557"/>
    <w:rsid w:val="0AA36B82"/>
    <w:rsid w:val="0AB70251"/>
    <w:rsid w:val="0ABB5B86"/>
    <w:rsid w:val="0AC422DC"/>
    <w:rsid w:val="0AC90772"/>
    <w:rsid w:val="0BF132A6"/>
    <w:rsid w:val="0F6270FC"/>
    <w:rsid w:val="104F44D5"/>
    <w:rsid w:val="107F2121"/>
    <w:rsid w:val="10B17669"/>
    <w:rsid w:val="117B35A5"/>
    <w:rsid w:val="12A81C68"/>
    <w:rsid w:val="12B465CD"/>
    <w:rsid w:val="12EF58A8"/>
    <w:rsid w:val="135B1323"/>
    <w:rsid w:val="141472A9"/>
    <w:rsid w:val="14237D99"/>
    <w:rsid w:val="14F07B6A"/>
    <w:rsid w:val="17395C52"/>
    <w:rsid w:val="17CF37DD"/>
    <w:rsid w:val="17FB0939"/>
    <w:rsid w:val="18377CAF"/>
    <w:rsid w:val="18AD336C"/>
    <w:rsid w:val="191D5323"/>
    <w:rsid w:val="19E25A8D"/>
    <w:rsid w:val="1A5F6148"/>
    <w:rsid w:val="1C567043"/>
    <w:rsid w:val="1D13777C"/>
    <w:rsid w:val="1DFA3A85"/>
    <w:rsid w:val="1EBD7528"/>
    <w:rsid w:val="20DB6550"/>
    <w:rsid w:val="21751C04"/>
    <w:rsid w:val="22A04815"/>
    <w:rsid w:val="22A31981"/>
    <w:rsid w:val="22D525BD"/>
    <w:rsid w:val="23535C37"/>
    <w:rsid w:val="23F76394"/>
    <w:rsid w:val="244A5795"/>
    <w:rsid w:val="24C50961"/>
    <w:rsid w:val="25740E92"/>
    <w:rsid w:val="2648525A"/>
    <w:rsid w:val="26531D8B"/>
    <w:rsid w:val="268A5E41"/>
    <w:rsid w:val="275A751E"/>
    <w:rsid w:val="277A757E"/>
    <w:rsid w:val="27BD2B01"/>
    <w:rsid w:val="27DE6CFF"/>
    <w:rsid w:val="28076A45"/>
    <w:rsid w:val="285679DA"/>
    <w:rsid w:val="28C31174"/>
    <w:rsid w:val="296645C3"/>
    <w:rsid w:val="2ACF0E36"/>
    <w:rsid w:val="2AF9465D"/>
    <w:rsid w:val="2CA15A37"/>
    <w:rsid w:val="2D1D2B95"/>
    <w:rsid w:val="2EBC4B46"/>
    <w:rsid w:val="2F7E1AF7"/>
    <w:rsid w:val="2F862BC5"/>
    <w:rsid w:val="2F9646ED"/>
    <w:rsid w:val="313A7139"/>
    <w:rsid w:val="31AC46DA"/>
    <w:rsid w:val="322778BD"/>
    <w:rsid w:val="32683389"/>
    <w:rsid w:val="33134418"/>
    <w:rsid w:val="3318043A"/>
    <w:rsid w:val="34B828A9"/>
    <w:rsid w:val="35015FBA"/>
    <w:rsid w:val="36C936FE"/>
    <w:rsid w:val="37FBE007"/>
    <w:rsid w:val="392A0C82"/>
    <w:rsid w:val="39766FF2"/>
    <w:rsid w:val="3998390E"/>
    <w:rsid w:val="3A9532FB"/>
    <w:rsid w:val="3B23087F"/>
    <w:rsid w:val="3BBF210A"/>
    <w:rsid w:val="3C0741A4"/>
    <w:rsid w:val="3D150741"/>
    <w:rsid w:val="3D86300C"/>
    <w:rsid w:val="3E2566A4"/>
    <w:rsid w:val="3E32601D"/>
    <w:rsid w:val="3F7E5351"/>
    <w:rsid w:val="3FBD214F"/>
    <w:rsid w:val="4146226E"/>
    <w:rsid w:val="41691F8F"/>
    <w:rsid w:val="424649EA"/>
    <w:rsid w:val="43712A5A"/>
    <w:rsid w:val="438A31BB"/>
    <w:rsid w:val="4409550D"/>
    <w:rsid w:val="448736FC"/>
    <w:rsid w:val="457F5E93"/>
    <w:rsid w:val="45FA54E8"/>
    <w:rsid w:val="462B298E"/>
    <w:rsid w:val="489032CB"/>
    <w:rsid w:val="49292CBC"/>
    <w:rsid w:val="4CBDE6D6"/>
    <w:rsid w:val="4EFE40C2"/>
    <w:rsid w:val="4F6568BD"/>
    <w:rsid w:val="50366EBE"/>
    <w:rsid w:val="50856891"/>
    <w:rsid w:val="54133033"/>
    <w:rsid w:val="546F0E0A"/>
    <w:rsid w:val="56865A7D"/>
    <w:rsid w:val="56AB5155"/>
    <w:rsid w:val="57313966"/>
    <w:rsid w:val="57F910B3"/>
    <w:rsid w:val="58A26889"/>
    <w:rsid w:val="592F0A9E"/>
    <w:rsid w:val="5A6C6059"/>
    <w:rsid w:val="5AC90CB7"/>
    <w:rsid w:val="5BFD4CC1"/>
    <w:rsid w:val="5C497C75"/>
    <w:rsid w:val="5CED383B"/>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EC4E96"/>
    <w:rsid w:val="70EB3E10"/>
    <w:rsid w:val="715C0189"/>
    <w:rsid w:val="72D942D5"/>
    <w:rsid w:val="737D56CE"/>
    <w:rsid w:val="7527404B"/>
    <w:rsid w:val="75E218ED"/>
    <w:rsid w:val="76592994"/>
    <w:rsid w:val="76C23463"/>
    <w:rsid w:val="76CB15CB"/>
    <w:rsid w:val="77146595"/>
    <w:rsid w:val="77638161"/>
    <w:rsid w:val="77E54CEB"/>
    <w:rsid w:val="780A54E7"/>
    <w:rsid w:val="78DA64D4"/>
    <w:rsid w:val="79632EC7"/>
    <w:rsid w:val="7AFF2EFC"/>
    <w:rsid w:val="7BCF7B64"/>
    <w:rsid w:val="7BFC1ED4"/>
    <w:rsid w:val="7E4B18D2"/>
    <w:rsid w:val="7E5E7DE2"/>
    <w:rsid w:val="7F77C802"/>
    <w:rsid w:val="7FCB2A93"/>
    <w:rsid w:val="7FD9EDC6"/>
    <w:rsid w:val="7FEC6AD2"/>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
    <w:unhideWhenUsed/>
    <w:qFormat/>
    <w:uiPriority w:val="99"/>
    <w:pPr>
      <w:jc w:val="left"/>
    </w:pPr>
  </w:style>
  <w:style w:type="paragraph" w:styleId="3">
    <w:name w:val="Plain Text"/>
    <w:basedOn w:val="1"/>
    <w:link w:val="12"/>
    <w:unhideWhenUsed/>
    <w:qFormat/>
    <w:uiPriority w:val="99"/>
    <w:rPr>
      <w:rFonts w:ascii="宋体" w:hAnsi="Courier New"/>
      <w:kern w:val="0"/>
      <w:sz w:val="20"/>
      <w:szCs w:val="21"/>
    </w:rPr>
  </w:style>
  <w:style w:type="paragraph" w:styleId="4">
    <w:name w:val="Balloon Text"/>
    <w:basedOn w:val="1"/>
    <w:link w:val="13"/>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kern w:val="0"/>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批注文字 字符"/>
    <w:link w:val="2"/>
    <w:qFormat/>
    <w:uiPriority w:val="99"/>
    <w:rPr>
      <w:rFonts w:ascii="Times New Roman" w:hAnsi="Times New Roman"/>
      <w:kern w:val="2"/>
      <w:sz w:val="21"/>
    </w:rPr>
  </w:style>
  <w:style w:type="character" w:customStyle="1" w:styleId="12">
    <w:name w:val="纯文本 字符"/>
    <w:link w:val="3"/>
    <w:qFormat/>
    <w:uiPriority w:val="99"/>
    <w:rPr>
      <w:rFonts w:ascii="宋体" w:hAnsi="Courier New" w:eastAsia="宋体" w:cs="Courier New"/>
      <w:szCs w:val="21"/>
    </w:rPr>
  </w:style>
  <w:style w:type="character" w:customStyle="1" w:styleId="13">
    <w:name w:val="批注框文本 字符"/>
    <w:link w:val="4"/>
    <w:semiHidden/>
    <w:qFormat/>
    <w:uiPriority w:val="99"/>
    <w:rPr>
      <w:kern w:val="2"/>
      <w:sz w:val="18"/>
      <w:szCs w:val="18"/>
    </w:rPr>
  </w:style>
  <w:style w:type="character" w:customStyle="1" w:styleId="14">
    <w:name w:val="页脚 字符"/>
    <w:link w:val="5"/>
    <w:qFormat/>
    <w:uiPriority w:val="99"/>
    <w:rPr>
      <w:rFonts w:ascii="Calibri" w:hAnsi="Calibri" w:eastAsia="宋体" w:cs="Times New Roman"/>
      <w:kern w:val="0"/>
      <w:sz w:val="18"/>
      <w:szCs w:val="18"/>
    </w:rPr>
  </w:style>
  <w:style w:type="character" w:customStyle="1" w:styleId="15">
    <w:name w:val="页眉 字符"/>
    <w:link w:val="6"/>
    <w:qFormat/>
    <w:uiPriority w:val="99"/>
    <w:rPr>
      <w:kern w:val="2"/>
      <w:sz w:val="18"/>
      <w:szCs w:val="18"/>
    </w:rPr>
  </w:style>
  <w:style w:type="paragraph" w:styleId="16">
    <w:name w:val="List Paragraph"/>
    <w:basedOn w:val="1"/>
    <w:qFormat/>
    <w:uiPriority w:val="34"/>
    <w:pPr>
      <w:widowControl/>
      <w:ind w:firstLine="420"/>
    </w:pPr>
    <w:rPr>
      <w:rFonts w:cs="宋体"/>
      <w:kern w:val="0"/>
      <w:szCs w:val="21"/>
    </w:rPr>
  </w:style>
  <w:style w:type="paragraph" w:customStyle="1" w:styleId="17">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8">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13263</Words>
  <Characters>13854</Characters>
  <Lines>100</Lines>
  <Paragraphs>28</Paragraphs>
  <TotalTime>0</TotalTime>
  <ScaleCrop>false</ScaleCrop>
  <LinksUpToDate>false</LinksUpToDate>
  <CharactersWithSpaces>14147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2026-09-24T08:38:28Z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