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2217D2">
      <w:pPr>
        <w:spacing w:line="372" w:lineRule="auto"/>
        <w:jc w:val="center"/>
        <w:rPr>
          <w:rFonts w:hint="eastAsia" w:ascii="黑体" w:eastAsia="黑体"/>
          <w:sz w:val="30"/>
          <w:szCs w:val="30"/>
          <w:highlight w:val="none"/>
        </w:rPr>
      </w:pPr>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26035</w:t>
      </w:r>
      <w:r>
        <w:rPr>
          <w:rFonts w:hint="eastAsia" w:ascii="黑体" w:eastAsia="黑体"/>
          <w:sz w:val="30"/>
          <w:szCs w:val="30"/>
          <w:highlight w:val="none"/>
        </w:rPr>
        <w:t>号（稳健低波款）</w:t>
      </w:r>
    </w:p>
    <w:p w14:paraId="3E704909">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14:paraId="4BF6F130">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14:paraId="186E971C">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14:paraId="1B0A6404">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26035</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396</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p>
    <w:p w14:paraId="752CBDB4">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14:paraId="6CC7DAE2">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14:paraId="3343AE72">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26035</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26035</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14:paraId="76125D6B">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14:paraId="7E453A74">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14:paraId="0B314E29">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14:paraId="3DA11518">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14:paraId="374DA6F7">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14:paraId="49107925">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14:paraId="6348DF73">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14:paraId="4D1E4DD9">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14:paraId="6BDB38E1">
      <w:pPr>
        <w:adjustRightInd w:val="0"/>
        <w:snapToGrid w:val="0"/>
        <w:spacing w:line="360" w:lineRule="auto"/>
        <w:ind w:firstLine="840" w:firstLineChars="400"/>
        <w:rPr>
          <w:rFonts w:ascii="宋体" w:hAnsi="宋体"/>
          <w:szCs w:val="21"/>
          <w:highlight w:val="none"/>
        </w:rPr>
      </w:pPr>
    </w:p>
    <w:p w14:paraId="60DD4D33">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1F9705C0">
      <w:pPr>
        <w:pStyle w:val="17"/>
        <w:adjustRightInd w:val="0"/>
        <w:snapToGrid w:val="0"/>
        <w:spacing w:before="0" w:beforeAutospacing="0" w:after="0" w:afterAutospacing="0" w:line="360" w:lineRule="auto"/>
        <w:jc w:val="center"/>
        <w:rPr>
          <w:rFonts w:ascii="黑体" w:eastAsia="黑体"/>
          <w:bCs/>
          <w:sz w:val="30"/>
          <w:szCs w:val="30"/>
          <w:highlight w:val="none"/>
        </w:rPr>
      </w:pPr>
    </w:p>
    <w:p w14:paraId="0E124AE7">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14:paraId="31A5586E">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26035</w:t>
      </w:r>
      <w:r>
        <w:rPr>
          <w:rFonts w:hint="eastAsia" w:ascii="黑体" w:eastAsia="黑体"/>
          <w:bCs/>
          <w:sz w:val="30"/>
          <w:szCs w:val="30"/>
          <w:highlight w:val="none"/>
        </w:rPr>
        <w:t>号（稳健低波款）</w:t>
      </w:r>
    </w:p>
    <w:p w14:paraId="14B34B53">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14:paraId="57F75705">
      <w:pPr>
        <w:adjustRightInd w:val="0"/>
        <w:snapToGrid w:val="0"/>
        <w:spacing w:before="120" w:line="300" w:lineRule="auto"/>
        <w:rPr>
          <w:b/>
          <w:sz w:val="18"/>
          <w:szCs w:val="18"/>
          <w:highlight w:val="none"/>
        </w:rPr>
      </w:pPr>
      <w:r>
        <w:rPr>
          <w:rFonts w:hint="eastAsia"/>
          <w:b/>
          <w:sz w:val="18"/>
          <w:szCs w:val="18"/>
          <w:highlight w:val="none"/>
        </w:rPr>
        <w:t>重要须知</w:t>
      </w:r>
    </w:p>
    <w:p w14:paraId="264C690A">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14:paraId="00CED598">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14:paraId="7B6288F5">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14:paraId="32FD195C">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14:paraId="08EB5523">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14:paraId="47E73A82">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14:paraId="41C47A41">
      <w:pPr>
        <w:adjustRightInd w:val="0"/>
        <w:snapToGrid w:val="0"/>
        <w:spacing w:line="300" w:lineRule="auto"/>
        <w:rPr>
          <w:b/>
          <w:sz w:val="18"/>
          <w:szCs w:val="18"/>
          <w:highlight w:val="none"/>
        </w:rPr>
      </w:pPr>
      <w:r>
        <w:rPr>
          <w:rFonts w:hint="eastAsia"/>
          <w:b/>
          <w:sz w:val="18"/>
          <w:szCs w:val="18"/>
          <w:highlight w:val="none"/>
        </w:rPr>
        <w:t>释义</w:t>
      </w:r>
    </w:p>
    <w:p w14:paraId="032ABC7B">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14:paraId="1286835F">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26035</w:t>
      </w:r>
      <w:r>
        <w:rPr>
          <w:rFonts w:hint="eastAsia"/>
          <w:sz w:val="18"/>
          <w:szCs w:val="18"/>
          <w:highlight w:val="none"/>
        </w:rPr>
        <w:t>号（稳健低波款）银行理财计划</w:t>
      </w:r>
    </w:p>
    <w:p w14:paraId="74036F0C">
      <w:pPr>
        <w:adjustRightInd w:val="0"/>
        <w:snapToGrid w:val="0"/>
        <w:spacing w:line="300" w:lineRule="auto"/>
        <w:rPr>
          <w:sz w:val="18"/>
          <w:szCs w:val="18"/>
          <w:highlight w:val="none"/>
        </w:rPr>
      </w:pPr>
      <w:r>
        <w:rPr>
          <w:rFonts w:hint="eastAsia"/>
          <w:sz w:val="18"/>
          <w:szCs w:val="18"/>
          <w:highlight w:val="none"/>
        </w:rPr>
        <w:t>发行银行：指温州银行股份有限公司</w:t>
      </w:r>
    </w:p>
    <w:p w14:paraId="296207DA">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14:paraId="6031ADCA">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14:paraId="7B4A4A87">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14:paraId="0A49DAEE">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51FA8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555AB262">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14:paraId="77A06A86">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14:paraId="7482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51827FE6">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14:paraId="340E5641">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14:paraId="0D495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59ACA1D8">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14:paraId="2A649A1D">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14:paraId="02C28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1F9D8123">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14:paraId="70E0A2FF">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14:paraId="5741A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20301350">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14:paraId="6AAD482E">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14:paraId="65571E9F">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340E00FC">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14:paraId="340E00FC">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5377744">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571A1C4E">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14:paraId="0F8A31D2">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6E10401">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BE19ADB">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14:paraId="5846BD58">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14:paraId="55377744">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14:paraId="571A1C4E">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14:paraId="0F8A31D2">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14:paraId="76E10401">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14:paraId="4BE19ADB">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14:paraId="5846BD58">
                        <w:pPr>
                          <w:jc w:val="center"/>
                          <w:rPr>
                            <w:sz w:val="18"/>
                            <w:szCs w:val="18"/>
                          </w:rPr>
                        </w:pPr>
                        <w:r>
                          <w:rPr>
                            <w:rFonts w:hint="eastAsia"/>
                            <w:sz w:val="18"/>
                            <w:szCs w:val="18"/>
                          </w:rPr>
                          <w:t>风险程度</w:t>
                        </w:r>
                      </w:p>
                    </w:txbxContent>
                  </v:textbox>
                </v:rect>
                <w10:wrap type="none"/>
                <w10:anchorlock/>
              </v:group>
            </w:pict>
          </mc:Fallback>
        </mc:AlternateContent>
      </w:r>
    </w:p>
    <w:p w14:paraId="6760A921">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14:paraId="48E6EC79">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C533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2E6AD284">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6CBA58CF">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26035</w:t>
            </w:r>
            <w:r>
              <w:rPr>
                <w:sz w:val="18"/>
                <w:szCs w:val="18"/>
                <w:highlight w:val="none"/>
              </w:rPr>
              <w:t>号</w:t>
            </w:r>
            <w:r>
              <w:rPr>
                <w:rFonts w:hint="eastAsia"/>
                <w:sz w:val="18"/>
                <w:szCs w:val="18"/>
                <w:highlight w:val="none"/>
              </w:rPr>
              <w:t>（稳健低波款）银行理财计划</w:t>
            </w:r>
          </w:p>
        </w:tc>
      </w:tr>
      <w:tr w14:paraId="2C73A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7C8924D">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54602D40">
            <w:pPr>
              <w:adjustRightInd w:val="0"/>
              <w:snapToGrid w:val="0"/>
              <w:spacing w:line="288" w:lineRule="auto"/>
              <w:jc w:val="center"/>
              <w:rPr>
                <w:sz w:val="18"/>
                <w:szCs w:val="18"/>
                <w:highlight w:val="none"/>
              </w:rPr>
            </w:pPr>
            <w:r>
              <w:rPr>
                <w:color w:val="000000"/>
                <w:sz w:val="18"/>
                <w:szCs w:val="18"/>
                <w:highlight w:val="none"/>
              </w:rPr>
              <w:t>JW2635</w:t>
            </w:r>
          </w:p>
        </w:tc>
      </w:tr>
      <w:tr w14:paraId="143CC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0999B1B">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2B5E11AD">
            <w:pPr>
              <w:adjustRightInd w:val="0"/>
              <w:snapToGrid w:val="0"/>
              <w:spacing w:line="288" w:lineRule="auto"/>
              <w:jc w:val="center"/>
              <w:rPr>
                <w:sz w:val="18"/>
                <w:szCs w:val="18"/>
                <w:highlight w:val="none"/>
              </w:rPr>
            </w:pPr>
            <w:r>
              <w:rPr>
                <w:color w:val="000000"/>
                <w:sz w:val="18"/>
                <w:szCs w:val="18"/>
                <w:highlight w:val="none"/>
              </w:rPr>
              <w:t>C1092226000060</w:t>
            </w:r>
          </w:p>
          <w:p w14:paraId="10741C40">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14:paraId="5CFD5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099A39D">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14:paraId="0202E046">
            <w:pPr>
              <w:adjustRightInd w:val="0"/>
              <w:snapToGrid w:val="0"/>
              <w:spacing w:line="288" w:lineRule="auto"/>
              <w:jc w:val="center"/>
              <w:rPr>
                <w:sz w:val="18"/>
                <w:szCs w:val="18"/>
                <w:highlight w:val="none"/>
              </w:rPr>
            </w:pPr>
            <w:r>
              <w:rPr>
                <w:rFonts w:hint="eastAsia"/>
                <w:sz w:val="18"/>
                <w:szCs w:val="18"/>
                <w:highlight w:val="none"/>
              </w:rPr>
              <w:t>封闭式净值型</w:t>
            </w:r>
          </w:p>
        </w:tc>
      </w:tr>
      <w:tr w14:paraId="24C1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175ED56">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21D7F441">
            <w:pPr>
              <w:adjustRightInd w:val="0"/>
              <w:snapToGrid w:val="0"/>
              <w:spacing w:line="288" w:lineRule="auto"/>
              <w:jc w:val="center"/>
              <w:rPr>
                <w:sz w:val="18"/>
                <w:szCs w:val="18"/>
                <w:highlight w:val="none"/>
              </w:rPr>
            </w:pPr>
            <w:r>
              <w:rPr>
                <w:rFonts w:hint="eastAsia"/>
                <w:sz w:val="18"/>
                <w:szCs w:val="18"/>
                <w:highlight w:val="none"/>
              </w:rPr>
              <w:t>固定收益类</w:t>
            </w:r>
          </w:p>
        </w:tc>
      </w:tr>
      <w:tr w14:paraId="78935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B84CC6B">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F3AC0D8">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14:paraId="1B061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FE998AB">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3B722A7B">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14:paraId="0F776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F9782DE">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213693AA">
            <w:pPr>
              <w:adjustRightInd w:val="0"/>
              <w:snapToGrid w:val="0"/>
              <w:spacing w:line="288" w:lineRule="auto"/>
              <w:jc w:val="center"/>
              <w:rPr>
                <w:sz w:val="18"/>
                <w:szCs w:val="18"/>
                <w:highlight w:val="none"/>
              </w:rPr>
            </w:pPr>
            <w:r>
              <w:rPr>
                <w:rFonts w:hint="eastAsia"/>
                <w:sz w:val="18"/>
                <w:szCs w:val="18"/>
                <w:highlight w:val="none"/>
              </w:rPr>
              <w:t>公募</w:t>
            </w:r>
          </w:p>
        </w:tc>
      </w:tr>
      <w:tr w14:paraId="6B828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39CB1FF">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14:paraId="08D7FAFF">
            <w:pPr>
              <w:adjustRightInd w:val="0"/>
              <w:snapToGrid w:val="0"/>
              <w:spacing w:line="288" w:lineRule="auto"/>
              <w:jc w:val="center"/>
              <w:rPr>
                <w:sz w:val="18"/>
                <w:szCs w:val="18"/>
                <w:highlight w:val="none"/>
              </w:rPr>
            </w:pPr>
            <w:r>
              <w:rPr>
                <w:rFonts w:hint="eastAsia"/>
                <w:color w:val="000000"/>
                <w:sz w:val="18"/>
                <w:szCs w:val="18"/>
                <w:u w:val="single"/>
                <w:lang w:val="en-US" w:eastAsia="zh-CN"/>
              </w:rPr>
              <w:t>396</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14:paraId="3D067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14:paraId="197A943A">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14:paraId="04B3C0AB">
            <w:pPr>
              <w:adjustRightInd w:val="0"/>
              <w:snapToGrid w:val="0"/>
              <w:spacing w:line="288" w:lineRule="auto"/>
              <w:jc w:val="center"/>
              <w:rPr>
                <w:sz w:val="18"/>
                <w:szCs w:val="18"/>
                <w:highlight w:val="none"/>
              </w:rPr>
            </w:pPr>
            <w:r>
              <w:rPr>
                <w:rFonts w:hint="eastAsia"/>
                <w:sz w:val="18"/>
                <w:szCs w:val="18"/>
                <w:highlight w:val="none"/>
              </w:rPr>
              <w:t>人民币</w:t>
            </w:r>
          </w:p>
        </w:tc>
      </w:tr>
      <w:tr w14:paraId="4CD97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C60B3AD">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0FBA4E86">
            <w:pPr>
              <w:adjustRightInd w:val="0"/>
              <w:snapToGrid w:val="0"/>
              <w:spacing w:line="288" w:lineRule="auto"/>
              <w:rPr>
                <w:sz w:val="18"/>
                <w:szCs w:val="18"/>
                <w:highlight w:val="none"/>
              </w:rPr>
            </w:pPr>
            <w:r>
              <w:rPr>
                <w:rFonts w:hint="eastAsia"/>
                <w:sz w:val="18"/>
                <w:szCs w:val="18"/>
                <w:highlight w:val="none"/>
              </w:rPr>
              <w:t>发售规模不超过20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14:paraId="4332D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D7B2F15">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346675A0">
            <w:pPr>
              <w:adjustRightInd w:val="0"/>
              <w:snapToGrid w:val="0"/>
              <w:spacing w:line="288" w:lineRule="auto"/>
              <w:jc w:val="center"/>
              <w:rPr>
                <w:sz w:val="18"/>
                <w:szCs w:val="18"/>
                <w:highlight w:val="none"/>
                <w:u w:val="single"/>
              </w:rPr>
            </w:pPr>
            <w:r>
              <w:rPr>
                <w:color w:val="000000"/>
                <w:sz w:val="18"/>
                <w:highlight w:val="none"/>
                <w:u w:val="single"/>
              </w:rPr>
              <w:t>2026年9月30日</w:t>
            </w:r>
            <w:r>
              <w:rPr>
                <w:rFonts w:hint="eastAsia"/>
                <w:sz w:val="18"/>
                <w:highlight w:val="none"/>
                <w:u w:val="single"/>
              </w:rPr>
              <w:t>至</w:t>
            </w:r>
            <w:r>
              <w:rPr>
                <w:color w:val="000000"/>
                <w:sz w:val="18"/>
                <w:highlight w:val="none"/>
                <w:u w:val="single"/>
              </w:rPr>
              <w:t>2026年10月7日</w:t>
            </w:r>
          </w:p>
        </w:tc>
      </w:tr>
      <w:tr w14:paraId="2DC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AEF58E7">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37AB1E5E">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14:paraId="782A9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4E8A8E1">
            <w:pPr>
              <w:adjustRightInd w:val="0"/>
              <w:snapToGrid w:val="0"/>
              <w:spacing w:line="288" w:lineRule="auto"/>
              <w:jc w:val="center"/>
              <w:rPr>
                <w:sz w:val="18"/>
                <w:szCs w:val="18"/>
                <w:highlight w:val="none"/>
              </w:rPr>
            </w:pPr>
            <w:r>
              <w:rPr>
                <w:rFonts w:hint="eastAsia"/>
                <w:sz w:val="18"/>
                <w:szCs w:val="18"/>
                <w:highlight w:val="none"/>
              </w:rPr>
              <w:t>理财开始日</w:t>
            </w:r>
          </w:p>
          <w:p w14:paraId="43493F2E">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14:paraId="72975B82">
            <w:pPr>
              <w:adjustRightInd w:val="0"/>
              <w:snapToGrid w:val="0"/>
              <w:spacing w:line="288" w:lineRule="auto"/>
              <w:jc w:val="center"/>
              <w:rPr>
                <w:sz w:val="18"/>
                <w:szCs w:val="18"/>
                <w:highlight w:val="none"/>
              </w:rPr>
            </w:pPr>
            <w:r>
              <w:rPr>
                <w:rFonts w:hint="eastAsia"/>
                <w:color w:val="000000"/>
                <w:sz w:val="18"/>
                <w:szCs w:val="18"/>
                <w:u w:val="single"/>
                <w:lang w:val="en-US" w:eastAsia="zh-CN"/>
              </w:rPr>
              <w:t>2026年10月8日</w:t>
            </w:r>
          </w:p>
        </w:tc>
      </w:tr>
      <w:tr w14:paraId="1B10B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EEA8D04">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14:paraId="2B1BD1BF">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2027年11月8日</w:t>
            </w:r>
          </w:p>
        </w:tc>
      </w:tr>
      <w:tr w14:paraId="1EAB6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BB1D80E">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14:paraId="58A56302">
            <w:pPr>
              <w:adjustRightInd w:val="0"/>
              <w:snapToGrid w:val="0"/>
              <w:spacing w:line="288" w:lineRule="auto"/>
              <w:jc w:val="center"/>
              <w:rPr>
                <w:sz w:val="18"/>
                <w:szCs w:val="18"/>
                <w:highlight w:val="none"/>
              </w:rPr>
            </w:pPr>
            <w:r>
              <w:rPr>
                <w:rFonts w:hint="eastAsia"/>
                <w:color w:val="000000"/>
                <w:sz w:val="18"/>
                <w:szCs w:val="18"/>
                <w:lang w:val="en-US" w:eastAsia="zh-CN"/>
              </w:rPr>
              <w:t>2.40%</w:t>
            </w:r>
            <w:r>
              <w:rPr>
                <w:rFonts w:hint="eastAsia"/>
                <w:sz w:val="18"/>
                <w:szCs w:val="18"/>
                <w:highlight w:val="none"/>
              </w:rPr>
              <w:t>（年化）</w:t>
            </w:r>
          </w:p>
          <w:p w14:paraId="4E108BB2">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14:paraId="65826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B1DC32F">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223735FF">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14:paraId="3EF9F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204F499">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4F2486F5">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14:paraId="10FE1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31C1F7C">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57510527">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14:paraId="628E3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7F0937A">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1E447E78">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14:paraId="6872F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00507E4">
            <w:pPr>
              <w:adjustRightInd w:val="0"/>
              <w:snapToGrid w:val="0"/>
              <w:spacing w:line="288" w:lineRule="auto"/>
              <w:jc w:val="center"/>
              <w:rPr>
                <w:sz w:val="18"/>
                <w:szCs w:val="18"/>
                <w:highlight w:val="none"/>
              </w:rPr>
            </w:pPr>
            <w:r>
              <w:rPr>
                <w:rFonts w:hint="eastAsia"/>
                <w:sz w:val="18"/>
                <w:szCs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14:paraId="2C582923">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14:paraId="1965F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0AF95E5">
            <w:pPr>
              <w:adjustRightInd w:val="0"/>
              <w:snapToGrid w:val="0"/>
              <w:spacing w:line="288" w:lineRule="auto"/>
              <w:jc w:val="center"/>
              <w:rPr>
                <w:sz w:val="18"/>
                <w:szCs w:val="18"/>
                <w:highlight w:val="none"/>
              </w:rPr>
            </w:pPr>
            <w:r>
              <w:rPr>
                <w:rFonts w:hint="eastAsia"/>
                <w:sz w:val="18"/>
                <w:szCs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14:paraId="037A9923">
            <w:pPr>
              <w:rPr>
                <w:szCs w:val="21"/>
                <w:highlight w:val="none"/>
              </w:rPr>
            </w:pPr>
            <w:r>
              <w:rPr>
                <w:rFonts w:hint="eastAsia" w:ascii="宋体" w:hAnsi="宋体"/>
                <w:sz w:val="18"/>
                <w:szCs w:val="18"/>
                <w:highlight w:val="none"/>
                <w:lang w:eastAsia="zh-CN"/>
              </w:rPr>
              <w:t>单一投资者持有份额最高不超2000万，</w:t>
            </w:r>
            <w:r>
              <w:rPr>
                <w:rFonts w:hint="eastAsia" w:ascii="宋体" w:hAnsi="宋体"/>
                <w:sz w:val="18"/>
                <w:szCs w:val="18"/>
                <w:highlight w:val="none"/>
                <w:lang w:val="en-US" w:eastAsia="zh-CN"/>
              </w:rPr>
              <w:t>且</w:t>
            </w:r>
            <w:r>
              <w:rPr>
                <w:rFonts w:hint="eastAsia" w:ascii="宋体" w:hAnsi="宋体"/>
                <w:sz w:val="18"/>
                <w:szCs w:val="18"/>
                <w:highlight w:val="none"/>
              </w:rPr>
              <w:t>不得超过总份额的50%；投资者持有份额的计算以管理人登记为准。</w:t>
            </w:r>
          </w:p>
        </w:tc>
      </w:tr>
      <w:tr w14:paraId="4D77D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20E1E1A">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5F66B19A">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14:paraId="3F75C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C4172E9">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1DB64477">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14:paraId="7E6A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EB890CC">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14:paraId="5F37FB60">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14:paraId="19258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C062D79">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71941D2B">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14:paraId="2680A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34878CF">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E2B6660">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40368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38DC025">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37EDF315">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14:paraId="3EA15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7EA06A5">
            <w:pPr>
              <w:adjustRightInd w:val="0"/>
              <w:snapToGrid w:val="0"/>
              <w:spacing w:line="288" w:lineRule="auto"/>
              <w:jc w:val="center"/>
              <w:rPr>
                <w:rFonts w:hint="eastAsia"/>
                <w:sz w:val="18"/>
                <w:szCs w:val="18"/>
                <w:highlight w:val="none"/>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14:paraId="2D15B916">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14:paraId="3A548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31C355D">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7B2D1EEF">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14:paraId="4A0C5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3A2A736B">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0A870396">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14:paraId="4D513FB2">
      <w:pPr>
        <w:adjustRightInd w:val="0"/>
        <w:snapToGrid w:val="0"/>
        <w:spacing w:before="156" w:beforeLines="50" w:line="300" w:lineRule="auto"/>
        <w:rPr>
          <w:b/>
          <w:sz w:val="18"/>
          <w:szCs w:val="18"/>
          <w:highlight w:val="none"/>
        </w:rPr>
      </w:pPr>
      <w:r>
        <w:rPr>
          <w:rFonts w:hint="eastAsia"/>
          <w:b/>
          <w:sz w:val="18"/>
          <w:szCs w:val="18"/>
          <w:highlight w:val="none"/>
        </w:rPr>
        <w:t>投资管理</w:t>
      </w:r>
    </w:p>
    <w:p w14:paraId="49D2D3F1">
      <w:pPr>
        <w:adjustRightInd w:val="0"/>
        <w:snapToGrid w:val="0"/>
        <w:spacing w:line="300" w:lineRule="auto"/>
        <w:rPr>
          <w:sz w:val="18"/>
          <w:szCs w:val="18"/>
          <w:highlight w:val="none"/>
        </w:rPr>
      </w:pPr>
      <w:r>
        <w:rPr>
          <w:rFonts w:hint="eastAsia"/>
          <w:sz w:val="18"/>
          <w:szCs w:val="18"/>
          <w:highlight w:val="none"/>
        </w:rPr>
        <w:t>1、投资范围</w:t>
      </w:r>
    </w:p>
    <w:p w14:paraId="4D850280">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14:paraId="528570F2">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14:paraId="4C5B15F1">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14:paraId="49064AD5">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14:paraId="59743813">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14:paraId="29EEC1AF">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14:paraId="1A7F3A94">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14:paraId="03C86F1D">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14:paraId="460D49DF">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14:paraId="65D8340A">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14:paraId="267B8396">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14:paraId="39D43E2D">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14:paraId="5F5377AD">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48B9BDF">
      <w:pPr>
        <w:adjustRightInd w:val="0"/>
        <w:snapToGrid w:val="0"/>
        <w:spacing w:line="286" w:lineRule="auto"/>
        <w:rPr>
          <w:sz w:val="18"/>
          <w:szCs w:val="18"/>
          <w:highlight w:val="none"/>
        </w:rPr>
      </w:pPr>
      <w:r>
        <w:rPr>
          <w:rFonts w:hint="eastAsia"/>
          <w:sz w:val="18"/>
          <w:szCs w:val="18"/>
          <w:highlight w:val="none"/>
        </w:rPr>
        <w:t>3、投资策略</w:t>
      </w:r>
    </w:p>
    <w:p w14:paraId="2CA6493D">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w:t>
      </w:r>
    </w:p>
    <w:p w14:paraId="65B90F65">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14:paraId="2FEBB10B">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14:paraId="1FF09304">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14:paraId="1A1F6EE5">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14:paraId="39242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435E57F4">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14:paraId="544C8C25">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14:paraId="4E3CF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06A7D811">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14:paraId="41120AC5">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14:paraId="15533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47A6BF1C">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14:paraId="596B7A92">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14:paraId="2DCD9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4DC66A33">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14:paraId="206B51D6">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14:paraId="73BDAC4B">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14:paraId="3503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14:paraId="08B8294E">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14:paraId="16B31B9C">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14:paraId="33B99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7AC3BACF">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14:paraId="70BE2B7D">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14:paraId="36E2F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6E790DB1">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14:paraId="40A434CC">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14:paraId="4763E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7D3B8991">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14:paraId="0E24637A">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14:paraId="4474FB97">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14:paraId="459A8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7920E4E2">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14:paraId="6FB41708">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14:paraId="3716D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3470853C">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14:paraId="19254056">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14:paraId="2FBDB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00561AC8">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14:paraId="49A61E4D">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14:paraId="3A2B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6F4D3D20">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14:paraId="1656C00B">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14:paraId="076968A6">
      <w:pPr>
        <w:adjustRightInd w:val="0"/>
        <w:snapToGrid w:val="0"/>
        <w:spacing w:line="285" w:lineRule="auto"/>
        <w:rPr>
          <w:sz w:val="18"/>
          <w:szCs w:val="18"/>
          <w:highlight w:val="none"/>
        </w:rPr>
      </w:pPr>
      <w:r>
        <w:rPr>
          <w:rFonts w:hint="eastAsia" w:ascii="宋体" w:hAnsi="宋体"/>
          <w:b/>
          <w:bCs/>
          <w:sz w:val="18"/>
          <w:szCs w:val="18"/>
          <w:highlight w:val="none"/>
        </w:rPr>
        <w:t>投资合作机构</w:t>
      </w:r>
    </w:p>
    <w:p w14:paraId="7FEFD728">
      <w:pPr>
        <w:adjustRightInd w:val="0"/>
        <w:snapToGrid w:val="0"/>
        <w:spacing w:line="280" w:lineRule="auto"/>
        <w:rPr>
          <w:sz w:val="18"/>
          <w:szCs w:val="18"/>
          <w:highlight w:val="none"/>
        </w:rPr>
      </w:pPr>
      <w:r>
        <w:rPr>
          <w:rFonts w:hint="eastAsia" w:ascii="宋体" w:hAnsi="宋体"/>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18"/>
          <w:rFonts w:hint="eastAsia" w:ascii="宋体" w:hAnsi="宋体"/>
          <w:sz w:val="18"/>
          <w:szCs w:val="18"/>
          <w:highlight w:val="none"/>
        </w:rPr>
        <w:t>www.wzbank.cn</w:t>
      </w:r>
      <w:r>
        <w:rPr>
          <w:rStyle w:val="18"/>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14:paraId="29C56F7D">
      <w:pPr>
        <w:adjustRightInd w:val="0"/>
        <w:snapToGrid w:val="0"/>
        <w:spacing w:line="286" w:lineRule="auto"/>
        <w:rPr>
          <w:b/>
          <w:bCs/>
          <w:sz w:val="18"/>
          <w:szCs w:val="18"/>
          <w:highlight w:val="none"/>
        </w:rPr>
      </w:pPr>
      <w:r>
        <w:rPr>
          <w:rFonts w:hint="eastAsia"/>
          <w:b/>
          <w:bCs/>
          <w:sz w:val="18"/>
          <w:szCs w:val="18"/>
          <w:highlight w:val="none"/>
        </w:rPr>
        <w:t>理财产品估值</w:t>
      </w:r>
    </w:p>
    <w:p w14:paraId="625B2967">
      <w:pPr>
        <w:adjustRightInd w:val="0"/>
        <w:snapToGrid w:val="0"/>
        <w:spacing w:line="286" w:lineRule="auto"/>
        <w:rPr>
          <w:sz w:val="18"/>
          <w:szCs w:val="18"/>
          <w:highlight w:val="none"/>
        </w:rPr>
      </w:pPr>
      <w:r>
        <w:rPr>
          <w:rFonts w:hint="eastAsia"/>
          <w:sz w:val="18"/>
          <w:szCs w:val="18"/>
          <w:highlight w:val="none"/>
        </w:rPr>
        <w:t xml:space="preserve">【估值日】 </w:t>
      </w:r>
    </w:p>
    <w:p w14:paraId="1801ED3F">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w:t>
      </w:r>
      <w:r>
        <w:rPr>
          <w:rFonts w:hint="eastAsia"/>
          <w:sz w:val="18"/>
          <w:szCs w:val="18"/>
          <w:highlight w:val="none"/>
        </w:rPr>
        <w:t xml:space="preserve">如遇非工作日顺延至下一工作日）。 </w:t>
      </w:r>
    </w:p>
    <w:p w14:paraId="019F5AF6">
      <w:pPr>
        <w:adjustRightInd w:val="0"/>
        <w:snapToGrid w:val="0"/>
        <w:spacing w:line="286" w:lineRule="auto"/>
        <w:rPr>
          <w:rFonts w:hint="eastAsia"/>
          <w:sz w:val="18"/>
          <w:szCs w:val="18"/>
          <w:highlight w:val="none"/>
        </w:rPr>
      </w:pPr>
      <w:r>
        <w:rPr>
          <w:rFonts w:hint="eastAsia"/>
          <w:sz w:val="18"/>
          <w:szCs w:val="18"/>
          <w:highlight w:val="none"/>
        </w:rPr>
        <w:t>【估值对象】</w:t>
      </w:r>
    </w:p>
    <w:p w14:paraId="771B83B0">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14:paraId="1E5AF2B0">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14:paraId="34E84639">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14:paraId="348AC8A2">
      <w:pPr>
        <w:adjustRightInd w:val="0"/>
        <w:snapToGrid w:val="0"/>
        <w:spacing w:line="286" w:lineRule="auto"/>
        <w:rPr>
          <w:rFonts w:hint="eastAsia"/>
          <w:sz w:val="18"/>
          <w:szCs w:val="18"/>
          <w:highlight w:val="none"/>
        </w:rPr>
      </w:pPr>
      <w:r>
        <w:rPr>
          <w:rFonts w:hint="eastAsia"/>
          <w:sz w:val="18"/>
          <w:szCs w:val="18"/>
          <w:highlight w:val="none"/>
        </w:rPr>
        <w:t>【估值原则】</w:t>
      </w:r>
    </w:p>
    <w:p w14:paraId="72BF05E5">
      <w:pPr>
        <w:adjustRightInd w:val="0"/>
        <w:snapToGrid w:val="0"/>
        <w:spacing w:line="286" w:lineRule="auto"/>
        <w:rPr>
          <w:rFonts w:hint="eastAsia"/>
          <w:sz w:val="18"/>
          <w:szCs w:val="18"/>
          <w:highlight w:val="none"/>
        </w:rPr>
      </w:pPr>
      <w:r>
        <w:rPr>
          <w:rFonts w:hint="eastAsia"/>
          <w:sz w:val="18"/>
          <w:szCs w:val="18"/>
          <w:highlight w:val="none"/>
        </w:rPr>
        <w:t>理财产品投资金融资产在符合企业会计准则的前提下坚持公允价值计量原则，鼓励使用市值计量。符合以下条件之一的，可按照企业会计准则以摊余成本进行计量：</w:t>
      </w:r>
    </w:p>
    <w:p w14:paraId="39429537">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14:paraId="436EB1B2">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14:paraId="53C5C2BB">
      <w:pPr>
        <w:adjustRightInd w:val="0"/>
        <w:snapToGrid w:val="0"/>
        <w:spacing w:line="286" w:lineRule="auto"/>
        <w:rPr>
          <w:rFonts w:hint="eastAsia"/>
          <w:sz w:val="18"/>
          <w:szCs w:val="18"/>
          <w:highlight w:val="none"/>
        </w:rPr>
      </w:pPr>
      <w:r>
        <w:rPr>
          <w:rFonts w:hint="eastAsia"/>
          <w:sz w:val="18"/>
          <w:szCs w:val="18"/>
          <w:highlight w:val="none"/>
        </w:rPr>
        <w:t>如财政部、中国人民银行、国家金融监督管理总局等有关部门对估值原则另有规定的，从其规定。</w:t>
      </w:r>
    </w:p>
    <w:p w14:paraId="1DDBAE65">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14:paraId="6BE9DF95">
      <w:pPr>
        <w:adjustRightInd w:val="0"/>
        <w:snapToGrid w:val="0"/>
        <w:spacing w:line="286" w:lineRule="auto"/>
        <w:rPr>
          <w:rFonts w:hint="eastAsia"/>
          <w:sz w:val="18"/>
          <w:szCs w:val="18"/>
          <w:highlight w:val="none"/>
        </w:rPr>
      </w:pPr>
      <w:r>
        <w:rPr>
          <w:rFonts w:hint="eastAsia"/>
          <w:sz w:val="18"/>
          <w:szCs w:val="18"/>
          <w:highlight w:val="none"/>
        </w:rPr>
        <w:t>1、货币市场工具：</w:t>
      </w:r>
    </w:p>
    <w:p w14:paraId="2CA9C6F0">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14:paraId="58B7B607">
      <w:pPr>
        <w:adjustRightInd w:val="0"/>
        <w:snapToGrid w:val="0"/>
        <w:spacing w:line="286" w:lineRule="auto"/>
        <w:rPr>
          <w:rFonts w:hint="eastAsia"/>
          <w:sz w:val="18"/>
          <w:szCs w:val="18"/>
          <w:highlight w:val="none"/>
        </w:rPr>
      </w:pPr>
      <w:r>
        <w:rPr>
          <w:rFonts w:hint="eastAsia"/>
          <w:sz w:val="18"/>
          <w:szCs w:val="18"/>
          <w:highlight w:val="none"/>
        </w:rPr>
        <w:t xml:space="preserve">（2）货币市场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6735F434">
      <w:pPr>
        <w:adjustRightInd w:val="0"/>
        <w:snapToGrid w:val="0"/>
        <w:spacing w:line="286" w:lineRule="auto"/>
        <w:rPr>
          <w:rFonts w:hint="eastAsia"/>
          <w:sz w:val="18"/>
          <w:szCs w:val="18"/>
          <w:highlight w:val="none"/>
        </w:rPr>
      </w:pPr>
      <w:r>
        <w:rPr>
          <w:rFonts w:hint="eastAsia"/>
          <w:sz w:val="18"/>
          <w:szCs w:val="18"/>
          <w:highlight w:val="none"/>
        </w:rPr>
        <w:t>2、债券类资产：</w:t>
      </w:r>
    </w:p>
    <w:p w14:paraId="56F253D8">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（1）以收取合同现金流量为目的并持有到期的债券，在符合监管规定的情况下按摊余成本法计量。</w:t>
      </w:r>
    </w:p>
    <w:p w14:paraId="4746AAE3">
      <w:pPr>
        <w:adjustRightInd w:val="0"/>
        <w:snapToGrid w:val="0"/>
        <w:spacing w:line="286" w:lineRule="auto"/>
        <w:rPr>
          <w:rFonts w:hint="eastAsia"/>
          <w:sz w:val="18"/>
          <w:szCs w:val="18"/>
          <w:highlight w:val="none"/>
        </w:rPr>
      </w:pPr>
      <w:r>
        <w:rPr>
          <w:rFonts w:hint="eastAsia"/>
          <w:sz w:val="18"/>
          <w:szCs w:val="18"/>
          <w:highlight w:val="none"/>
        </w:rPr>
        <w:t>（2）其余债券类资产按市价法估值。市价法不能确定其公允价值的，采用估值技术进行估值。</w:t>
      </w:r>
    </w:p>
    <w:p w14:paraId="3AE2231D">
      <w:pPr>
        <w:adjustRightInd w:val="0"/>
        <w:snapToGrid w:val="0"/>
        <w:spacing w:line="286" w:lineRule="auto"/>
        <w:rPr>
          <w:rFonts w:hint="eastAsia"/>
          <w:sz w:val="18"/>
          <w:szCs w:val="18"/>
          <w:highlight w:val="none"/>
        </w:rPr>
      </w:pPr>
      <w:r>
        <w:rPr>
          <w:rFonts w:hint="eastAsia"/>
          <w:sz w:val="18"/>
          <w:szCs w:val="18"/>
          <w:highlight w:val="none"/>
        </w:rPr>
        <w:t>3、基金、证券、保险等资产管理计划和信托计划等资产（不含货币市场基金）：</w:t>
      </w:r>
    </w:p>
    <w:p w14:paraId="6D603C69">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14:paraId="1F119E61">
      <w:pPr>
        <w:adjustRightInd w:val="0"/>
        <w:snapToGrid w:val="0"/>
        <w:spacing w:line="286" w:lineRule="auto"/>
        <w:rPr>
          <w:rFonts w:hint="eastAsia"/>
          <w:sz w:val="18"/>
          <w:szCs w:val="18"/>
          <w:highlight w:val="none"/>
        </w:rPr>
      </w:pPr>
      <w:r>
        <w:rPr>
          <w:rFonts w:hint="eastAsia"/>
          <w:sz w:val="18"/>
          <w:szCs w:val="18"/>
          <w:highlight w:val="none"/>
        </w:rPr>
        <w:t>4、其他资产：</w:t>
      </w:r>
    </w:p>
    <w:p w14:paraId="7C5DB14E">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14:paraId="5026C68E">
      <w:pPr>
        <w:adjustRightInd w:val="0"/>
        <w:snapToGrid w:val="0"/>
        <w:spacing w:line="286" w:lineRule="auto"/>
        <w:rPr>
          <w:rFonts w:hint="eastAsia"/>
          <w:sz w:val="18"/>
          <w:szCs w:val="18"/>
          <w:highlight w:val="none"/>
        </w:rPr>
      </w:pPr>
      <w:r>
        <w:rPr>
          <w:rFonts w:hint="eastAsia"/>
          <w:sz w:val="18"/>
          <w:szCs w:val="18"/>
          <w:highlight w:val="none"/>
        </w:rPr>
        <w:t>5、其他事项</w:t>
      </w:r>
    </w:p>
    <w:p w14:paraId="294F8E47">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p>
    <w:p w14:paraId="1E613F45">
      <w:pPr>
        <w:adjustRightInd w:val="0"/>
        <w:snapToGrid w:val="0"/>
        <w:spacing w:line="286" w:lineRule="auto"/>
        <w:rPr>
          <w:sz w:val="18"/>
          <w:szCs w:val="18"/>
          <w:highlight w:val="none"/>
        </w:rPr>
      </w:pPr>
      <w:r>
        <w:rPr>
          <w:rFonts w:hint="eastAsia"/>
          <w:sz w:val="18"/>
          <w:szCs w:val="18"/>
          <w:highlight w:val="none"/>
        </w:rPr>
        <w:t>【估值错误处理】</w:t>
      </w:r>
    </w:p>
    <w:p w14:paraId="6E743EF7">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4972C069">
      <w:pPr>
        <w:adjustRightInd w:val="0"/>
        <w:snapToGrid w:val="0"/>
        <w:spacing w:line="285" w:lineRule="auto"/>
        <w:rPr>
          <w:sz w:val="18"/>
          <w:szCs w:val="18"/>
          <w:highlight w:val="none"/>
        </w:rPr>
      </w:pPr>
      <w:r>
        <w:rPr>
          <w:rFonts w:hint="eastAsia" w:ascii="宋体" w:hAnsi="宋体"/>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69080A26">
      <w:pPr>
        <w:adjustRightInd w:val="0"/>
        <w:snapToGrid w:val="0"/>
        <w:spacing w:line="286" w:lineRule="auto"/>
        <w:rPr>
          <w:sz w:val="18"/>
          <w:szCs w:val="18"/>
          <w:highlight w:val="none"/>
        </w:rPr>
      </w:pPr>
      <w:r>
        <w:rPr>
          <w:rFonts w:hint="eastAsia"/>
          <w:sz w:val="18"/>
          <w:szCs w:val="18"/>
          <w:highlight w:val="none"/>
        </w:rPr>
        <w:t>【暂停估值】</w:t>
      </w:r>
    </w:p>
    <w:p w14:paraId="7CE93CB9">
      <w:pPr>
        <w:adjustRightInd w:val="0"/>
        <w:snapToGrid w:val="0"/>
        <w:spacing w:line="286" w:lineRule="auto"/>
        <w:rPr>
          <w:sz w:val="18"/>
          <w:szCs w:val="18"/>
          <w:highlight w:val="none"/>
        </w:rPr>
      </w:pPr>
      <w:r>
        <w:rPr>
          <w:rFonts w:hint="eastAsia"/>
          <w:sz w:val="18"/>
          <w:szCs w:val="18"/>
          <w:highlight w:val="none"/>
        </w:rPr>
        <w:t>本理财计划可暂停估值的情形如下：</w:t>
      </w:r>
    </w:p>
    <w:p w14:paraId="7A6AC98E">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14:paraId="78319237">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14:paraId="06217213">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14:paraId="7F67F1EE">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14:paraId="214ABEAA">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14:paraId="7E6CE8AF">
      <w:pPr>
        <w:adjustRightInd w:val="0"/>
        <w:snapToGrid w:val="0"/>
        <w:spacing w:line="286" w:lineRule="auto"/>
        <w:rPr>
          <w:b/>
          <w:sz w:val="18"/>
          <w:szCs w:val="18"/>
          <w:highlight w:val="none"/>
        </w:rPr>
      </w:pPr>
      <w:r>
        <w:rPr>
          <w:rFonts w:hint="eastAsia"/>
          <w:b/>
          <w:sz w:val="18"/>
          <w:szCs w:val="18"/>
          <w:highlight w:val="none"/>
        </w:rPr>
        <w:t>理财收益测算及相关费用</w:t>
      </w:r>
    </w:p>
    <w:p w14:paraId="60B02929">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14:paraId="2D097C2E">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rPr>
        <w:t>2.40%</w:t>
      </w:r>
      <w:r>
        <w:rPr>
          <w:rFonts w:hint="eastAsia"/>
          <w:sz w:val="18"/>
          <w:szCs w:val="18"/>
          <w:highlight w:val="none"/>
        </w:rPr>
        <w:t>（年化）。本产品业绩比较基准仅作为计提产品浮动管理费的依据，不构成温州银行对该理财产品的任何收益承诺。</w:t>
      </w:r>
    </w:p>
    <w:p w14:paraId="5837AECA">
      <w:pPr>
        <w:adjustRightInd w:val="0"/>
        <w:snapToGrid w:val="0"/>
        <w:spacing w:line="286" w:lineRule="auto"/>
        <w:rPr>
          <w:sz w:val="18"/>
          <w:szCs w:val="18"/>
          <w:highlight w:val="none"/>
        </w:rPr>
      </w:pPr>
      <w:r>
        <w:rPr>
          <w:rFonts w:hint="eastAsia"/>
          <w:sz w:val="18"/>
          <w:szCs w:val="18"/>
          <w:highlight w:val="none"/>
        </w:rPr>
        <w:t>2、理财产品单位净值</w:t>
      </w:r>
    </w:p>
    <w:p w14:paraId="39B9C1B8">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14:paraId="5C6284C8">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14:paraId="68259095">
      <w:pPr>
        <w:adjustRightInd w:val="0"/>
        <w:snapToGrid w:val="0"/>
        <w:spacing w:line="286" w:lineRule="auto"/>
        <w:rPr>
          <w:sz w:val="18"/>
          <w:szCs w:val="18"/>
          <w:highlight w:val="none"/>
        </w:rPr>
      </w:pPr>
      <w:r>
        <w:rPr>
          <w:rFonts w:hint="eastAsia"/>
          <w:sz w:val="18"/>
          <w:szCs w:val="18"/>
          <w:highlight w:val="none"/>
        </w:rPr>
        <w:t>3、认购</w:t>
      </w:r>
    </w:p>
    <w:p w14:paraId="5B6203FB">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14:paraId="4FCAF030">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14:paraId="4875F894">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14:paraId="507E0740">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14:paraId="1CC09C4A">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14:paraId="526287C9">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14:paraId="5806C070">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rPr>
        <w:t>2027年11月8日</w:t>
      </w:r>
      <w:r>
        <w:rPr>
          <w:rFonts w:hint="eastAsia"/>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2064124E">
      <w:pPr>
        <w:adjustRightInd w:val="0"/>
        <w:snapToGrid w:val="0"/>
        <w:spacing w:line="286" w:lineRule="auto"/>
        <w:rPr>
          <w:sz w:val="18"/>
          <w:szCs w:val="18"/>
          <w:highlight w:val="none"/>
        </w:rPr>
      </w:pPr>
      <w:r>
        <w:rPr>
          <w:rFonts w:hint="eastAsia"/>
          <w:sz w:val="18"/>
          <w:szCs w:val="18"/>
          <w:highlight w:val="none"/>
        </w:rPr>
        <w:t>5、相关费用</w:t>
      </w:r>
    </w:p>
    <w:p w14:paraId="0EF0AE12">
      <w:pPr>
        <w:adjustRightInd w:val="0"/>
        <w:snapToGrid w:val="0"/>
        <w:spacing w:line="286" w:lineRule="auto"/>
        <w:rPr>
          <w:sz w:val="18"/>
          <w:szCs w:val="18"/>
          <w:highlight w:val="none"/>
        </w:rPr>
      </w:pPr>
      <w:r>
        <w:rPr>
          <w:rFonts w:hint="eastAsia"/>
          <w:sz w:val="18"/>
          <w:szCs w:val="18"/>
          <w:highlight w:val="none"/>
        </w:rPr>
        <w:t>（1）理财管理人的固定管理费</w:t>
      </w:r>
    </w:p>
    <w:p w14:paraId="0CDB0B84">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14:paraId="56FD5447">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14:paraId="54F1AE95">
      <w:pPr>
        <w:adjustRightInd w:val="0"/>
        <w:snapToGrid w:val="0"/>
        <w:spacing w:line="286" w:lineRule="auto"/>
        <w:rPr>
          <w:sz w:val="18"/>
          <w:szCs w:val="18"/>
          <w:highlight w:val="none"/>
        </w:rPr>
      </w:pPr>
      <w:r>
        <w:rPr>
          <w:rFonts w:hint="eastAsia"/>
          <w:sz w:val="18"/>
          <w:szCs w:val="18"/>
          <w:highlight w:val="none"/>
        </w:rPr>
        <w:t>H＝E×固定管理费率÷365</w:t>
      </w:r>
    </w:p>
    <w:p w14:paraId="655A7005">
      <w:pPr>
        <w:adjustRightInd w:val="0"/>
        <w:snapToGrid w:val="0"/>
        <w:spacing w:line="286" w:lineRule="auto"/>
        <w:rPr>
          <w:sz w:val="18"/>
          <w:szCs w:val="18"/>
          <w:highlight w:val="none"/>
        </w:rPr>
      </w:pPr>
      <w:r>
        <w:rPr>
          <w:rFonts w:hint="eastAsia"/>
          <w:sz w:val="18"/>
          <w:szCs w:val="18"/>
          <w:highlight w:val="none"/>
        </w:rPr>
        <w:t>H为每日应计提的固定管理费</w:t>
      </w:r>
    </w:p>
    <w:p w14:paraId="59D0F924">
      <w:pPr>
        <w:adjustRightInd w:val="0"/>
        <w:snapToGrid w:val="0"/>
        <w:spacing w:line="286" w:lineRule="auto"/>
        <w:rPr>
          <w:sz w:val="18"/>
          <w:szCs w:val="18"/>
          <w:highlight w:val="none"/>
        </w:rPr>
      </w:pPr>
      <w:r>
        <w:rPr>
          <w:rFonts w:hint="eastAsia"/>
          <w:sz w:val="18"/>
          <w:szCs w:val="18"/>
          <w:highlight w:val="none"/>
        </w:rPr>
        <w:t>E为本计划前一日资产净值</w:t>
      </w:r>
    </w:p>
    <w:p w14:paraId="4560A36F">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14:paraId="3BF36867">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14:paraId="44157393">
      <w:pPr>
        <w:adjustRightInd w:val="0"/>
        <w:snapToGrid w:val="0"/>
        <w:spacing w:line="286" w:lineRule="auto"/>
        <w:rPr>
          <w:sz w:val="18"/>
          <w:szCs w:val="18"/>
          <w:highlight w:val="none"/>
        </w:rPr>
      </w:pPr>
      <w:r>
        <w:rPr>
          <w:rFonts w:hint="eastAsia"/>
          <w:sz w:val="18"/>
          <w:szCs w:val="18"/>
          <w:highlight w:val="none"/>
        </w:rPr>
        <w:t>（2）理财托管人的托管费</w:t>
      </w:r>
    </w:p>
    <w:p w14:paraId="5850070B">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14:paraId="28E9E3E6">
      <w:pPr>
        <w:adjustRightInd w:val="0"/>
        <w:snapToGrid w:val="0"/>
        <w:spacing w:line="286" w:lineRule="auto"/>
        <w:rPr>
          <w:sz w:val="18"/>
          <w:szCs w:val="18"/>
          <w:highlight w:val="none"/>
        </w:rPr>
      </w:pPr>
      <w:r>
        <w:rPr>
          <w:rFonts w:hint="eastAsia"/>
          <w:sz w:val="18"/>
          <w:szCs w:val="18"/>
          <w:highlight w:val="none"/>
        </w:rPr>
        <w:t>H＝E×0.005％÷365</w:t>
      </w:r>
    </w:p>
    <w:p w14:paraId="5F4E9E8A">
      <w:pPr>
        <w:adjustRightInd w:val="0"/>
        <w:snapToGrid w:val="0"/>
        <w:spacing w:line="286" w:lineRule="auto"/>
        <w:rPr>
          <w:sz w:val="18"/>
          <w:szCs w:val="18"/>
          <w:highlight w:val="none"/>
        </w:rPr>
      </w:pPr>
      <w:r>
        <w:rPr>
          <w:rFonts w:hint="eastAsia"/>
          <w:sz w:val="18"/>
          <w:szCs w:val="18"/>
          <w:highlight w:val="none"/>
        </w:rPr>
        <w:t>H为每日应计提的托管费</w:t>
      </w:r>
    </w:p>
    <w:p w14:paraId="5896AEAD">
      <w:pPr>
        <w:adjustRightInd w:val="0"/>
        <w:snapToGrid w:val="0"/>
        <w:spacing w:line="286" w:lineRule="auto"/>
        <w:rPr>
          <w:sz w:val="18"/>
          <w:szCs w:val="18"/>
          <w:highlight w:val="none"/>
        </w:rPr>
      </w:pPr>
      <w:r>
        <w:rPr>
          <w:rFonts w:hint="eastAsia"/>
          <w:sz w:val="18"/>
          <w:szCs w:val="18"/>
          <w:highlight w:val="none"/>
        </w:rPr>
        <w:t>E为本计划前一日资产净值</w:t>
      </w:r>
    </w:p>
    <w:p w14:paraId="54CB4041">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14:paraId="41338E0E">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14:paraId="44CFFB55">
      <w:pPr>
        <w:adjustRightInd w:val="0"/>
        <w:snapToGrid w:val="0"/>
        <w:spacing w:line="286" w:lineRule="auto"/>
        <w:rPr>
          <w:sz w:val="18"/>
          <w:szCs w:val="18"/>
          <w:highlight w:val="none"/>
        </w:rPr>
      </w:pPr>
      <w:r>
        <w:rPr>
          <w:rFonts w:hint="eastAsia"/>
          <w:sz w:val="18"/>
          <w:szCs w:val="18"/>
          <w:highlight w:val="none"/>
        </w:rPr>
        <w:t>（3）浮动管理费</w:t>
      </w:r>
    </w:p>
    <w:p w14:paraId="62672360">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14:paraId="0F24ACA2">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14:paraId="5C698301">
      <w:pPr>
        <w:adjustRightInd w:val="0"/>
        <w:snapToGrid w:val="0"/>
        <w:spacing w:line="286" w:lineRule="auto"/>
        <w:rPr>
          <w:sz w:val="18"/>
          <w:szCs w:val="18"/>
          <w:highlight w:val="none"/>
        </w:rPr>
      </w:pPr>
      <w:r>
        <w:rPr>
          <w:rFonts w:hint="eastAsia"/>
          <w:sz w:val="18"/>
          <w:szCs w:val="18"/>
          <w:highlight w:val="none"/>
        </w:rPr>
        <w:t>6、投资者所得收益</w:t>
      </w:r>
    </w:p>
    <w:p w14:paraId="751CDC16">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14:paraId="290BDC6C">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14:paraId="55A1BA25">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14:paraId="165EA01B">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14:paraId="3B6ACDEF">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6</w:t>
      </w:r>
      <w:r>
        <w:rPr>
          <w:rFonts w:hint="eastAsia"/>
          <w:sz w:val="18"/>
          <w:szCs w:val="18"/>
        </w:rPr>
        <w:t>天。假设产品业绩比较基准为2.4%。到期时扣除托管费、销售服务费、固定管理费及其他费用（如有）后，如产品净值为1.028，此时， (1.028/1.00-1)×365/39</w:t>
      </w:r>
      <w:r>
        <w:rPr>
          <w:rFonts w:hint="eastAsia"/>
          <w:sz w:val="18"/>
          <w:szCs w:val="18"/>
          <w:lang w:val="en-US" w:eastAsia="zh-CN"/>
        </w:rPr>
        <w:t>6</w:t>
      </w:r>
      <w:r>
        <w:rPr>
          <w:rFonts w:hint="eastAsia"/>
          <w:sz w:val="18"/>
          <w:szCs w:val="18"/>
        </w:rPr>
        <w:t>=2.5</w:t>
      </w:r>
      <w:r>
        <w:rPr>
          <w:rFonts w:hint="eastAsia"/>
          <w:sz w:val="18"/>
          <w:szCs w:val="18"/>
          <w:lang w:val="en-US" w:eastAsia="zh-CN"/>
        </w:rPr>
        <w:t>8</w:t>
      </w:r>
      <w:r>
        <w:rPr>
          <w:rFonts w:hint="eastAsia"/>
          <w:sz w:val="18"/>
          <w:szCs w:val="18"/>
        </w:rPr>
        <w:t>%&gt;2.4%，即投资收益超越业绩比较基准，则投资管理人对超过业绩比较基准部分收益收取浮动管理费，浮动管理费为：1,000,000.00×[1.028-1.00×(1+2.4%×39</w:t>
      </w:r>
      <w:r>
        <w:rPr>
          <w:rFonts w:hint="eastAsia"/>
          <w:sz w:val="18"/>
          <w:szCs w:val="18"/>
          <w:lang w:val="en-US" w:eastAsia="zh-CN"/>
        </w:rPr>
        <w:t>6</w:t>
      </w:r>
      <w:r>
        <w:rPr>
          <w:rFonts w:hint="eastAsia"/>
          <w:sz w:val="18"/>
          <w:szCs w:val="18"/>
        </w:rPr>
        <w:t>/365)]×80%=</w:t>
      </w:r>
      <w:r>
        <w:rPr>
          <w:rFonts w:hint="eastAsia"/>
          <w:sz w:val="18"/>
          <w:szCs w:val="18"/>
          <w:lang w:val="en-US" w:eastAsia="zh-CN"/>
        </w:rPr>
        <w:t>1569.32</w:t>
      </w:r>
      <w:r>
        <w:rPr>
          <w:rFonts w:hint="eastAsia"/>
          <w:sz w:val="18"/>
          <w:szCs w:val="18"/>
        </w:rPr>
        <w:t>（元）。扣除浮动管理费后，客户最终收益为：1,000,000.00×（1.028-1.00）-</w:t>
      </w:r>
      <w:r>
        <w:rPr>
          <w:rFonts w:hint="eastAsia"/>
          <w:sz w:val="18"/>
          <w:szCs w:val="18"/>
          <w:lang w:val="en-US" w:eastAsia="zh-CN"/>
        </w:rPr>
        <w:t>1569.32</w:t>
      </w:r>
      <w:r>
        <w:rPr>
          <w:rFonts w:hint="eastAsia"/>
          <w:sz w:val="18"/>
          <w:szCs w:val="18"/>
        </w:rPr>
        <w:t>=2</w:t>
      </w:r>
      <w:r>
        <w:rPr>
          <w:rFonts w:hint="eastAsia"/>
          <w:sz w:val="18"/>
          <w:szCs w:val="18"/>
          <w:lang w:val="en-US" w:eastAsia="zh-CN"/>
        </w:rPr>
        <w:t>6430.68</w:t>
      </w:r>
      <w:r>
        <w:rPr>
          <w:rFonts w:hint="eastAsia"/>
          <w:sz w:val="18"/>
          <w:szCs w:val="18"/>
        </w:rPr>
        <w:t>（元），产品到期时，客户获得的实际收益相当于达到年化收益率水平为：2</w:t>
      </w:r>
      <w:r>
        <w:rPr>
          <w:rFonts w:hint="eastAsia"/>
          <w:sz w:val="18"/>
          <w:szCs w:val="18"/>
          <w:lang w:val="en-US" w:eastAsia="zh-CN"/>
        </w:rPr>
        <w:t>6430.68</w:t>
      </w:r>
      <w:r>
        <w:rPr>
          <w:rFonts w:hint="eastAsia"/>
          <w:sz w:val="18"/>
          <w:szCs w:val="18"/>
        </w:rPr>
        <w:t>/1,000,000.00×365/39</w:t>
      </w:r>
      <w:r>
        <w:rPr>
          <w:rFonts w:hint="eastAsia"/>
          <w:sz w:val="18"/>
          <w:szCs w:val="18"/>
          <w:lang w:val="en-US" w:eastAsia="zh-CN"/>
        </w:rPr>
        <w:t>6</w:t>
      </w:r>
      <w:r>
        <w:rPr>
          <w:rFonts w:hint="eastAsia"/>
          <w:sz w:val="18"/>
          <w:szCs w:val="18"/>
        </w:rPr>
        <w:t>=2.4</w:t>
      </w:r>
      <w:r>
        <w:rPr>
          <w:rFonts w:hint="eastAsia"/>
          <w:sz w:val="18"/>
          <w:szCs w:val="18"/>
          <w:lang w:val="en-US" w:eastAsia="zh-CN"/>
        </w:rPr>
        <w:t>4</w:t>
      </w:r>
      <w:r>
        <w:rPr>
          <w:rFonts w:hint="eastAsia"/>
          <w:sz w:val="18"/>
          <w:szCs w:val="18"/>
        </w:rPr>
        <w:t>%。</w:t>
      </w:r>
    </w:p>
    <w:p w14:paraId="5D21EB0D">
      <w:pPr>
        <w:adjustRightInd w:val="0"/>
        <w:snapToGrid w:val="0"/>
        <w:spacing w:line="286" w:lineRule="auto"/>
        <w:rPr>
          <w:rFonts w:hint="eastAsia"/>
          <w:sz w:val="18"/>
          <w:szCs w:val="18"/>
        </w:rPr>
      </w:pPr>
      <w:r>
        <w:rPr>
          <w:rFonts w:hint="eastAsia"/>
          <w:sz w:val="18"/>
          <w:szCs w:val="18"/>
        </w:rPr>
        <w:t>示例二：扣除托管费、销售服务费、固定管理费（如有</w:t>
      </w:r>
      <w:bookmarkStart w:id="0" w:name="_GoBack"/>
      <w:bookmarkEnd w:id="0"/>
      <w:r>
        <w:rPr>
          <w:rFonts w:hint="eastAsia"/>
          <w:sz w:val="18"/>
          <w:szCs w:val="18"/>
        </w:rPr>
        <w:t>）及其他费用（如有）后，投资收益率未达到业绩比较基准。</w:t>
      </w:r>
    </w:p>
    <w:p w14:paraId="03D3A109">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6</w:t>
      </w:r>
      <w:r>
        <w:rPr>
          <w:rFonts w:hint="eastAsia"/>
          <w:sz w:val="18"/>
          <w:szCs w:val="18"/>
        </w:rPr>
        <w:t>天。假设产品业绩比较基准为2.4%。到期时扣除托管费、销售服务费、固定管理费及其他费用（如有）后，如产品净值为1.025，此时，(1.025/1.00-1)×365/39</w:t>
      </w:r>
      <w:r>
        <w:rPr>
          <w:rFonts w:hint="eastAsia"/>
          <w:sz w:val="18"/>
          <w:szCs w:val="18"/>
          <w:lang w:val="en-US" w:eastAsia="zh-CN"/>
        </w:rPr>
        <w:t>6</w:t>
      </w:r>
      <w:r>
        <w:rPr>
          <w:rFonts w:hint="eastAsia"/>
          <w:sz w:val="18"/>
          <w:szCs w:val="18"/>
        </w:rPr>
        <w:t>=2.</w:t>
      </w:r>
      <w:r>
        <w:rPr>
          <w:rFonts w:hint="eastAsia"/>
          <w:sz w:val="18"/>
          <w:szCs w:val="18"/>
          <w:lang w:val="en-US" w:eastAsia="zh-CN"/>
        </w:rPr>
        <w:t>3</w:t>
      </w:r>
      <w:r>
        <w:rPr>
          <w:rFonts w:hint="eastAsia"/>
          <w:sz w:val="18"/>
          <w:szCs w:val="18"/>
        </w:rPr>
        <w:t>%&lt;2.4%，即投资收益未达到业绩比较基准，则投资管理人不收取浮动管理费，客户最终收益为：1,000,000.00×(1.025-1.00）=25000（元）。</w:t>
      </w:r>
    </w:p>
    <w:p w14:paraId="588A52AD">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14:paraId="0CB2A5BF">
      <w:pPr>
        <w:adjustRightInd w:val="0"/>
        <w:snapToGrid w:val="0"/>
        <w:spacing w:line="286" w:lineRule="auto"/>
        <w:rPr>
          <w:rFonts w:hint="eastAsia" w:eastAsia="宋体"/>
          <w:sz w:val="18"/>
          <w:szCs w:val="18"/>
          <w:highlight w:val="none"/>
          <w:lang w:eastAsia="zh-CN"/>
        </w:rPr>
      </w:pPr>
      <w:r>
        <w:rPr>
          <w:rFonts w:hint="eastAsia"/>
          <w:sz w:val="18"/>
          <w:szCs w:val="18"/>
        </w:rPr>
        <w:t>以某客户投资100万元为例，购买时产品净值为1.00元，折算份额为1,000,000.00份，理财期限为39</w:t>
      </w:r>
      <w:r>
        <w:rPr>
          <w:rFonts w:hint="eastAsia"/>
          <w:sz w:val="18"/>
          <w:szCs w:val="18"/>
          <w:lang w:val="en-US" w:eastAsia="zh-CN"/>
        </w:rPr>
        <w:t>6</w:t>
      </w:r>
      <w:r>
        <w:rPr>
          <w:rFonts w:hint="eastAsia"/>
          <w:sz w:val="18"/>
          <w:szCs w:val="18"/>
        </w:rPr>
        <w:t>天。假设产品业绩比较基准为2.4%，到期时扣除托管费、销售服务费、固定管理费及其他费用（如有）后，如产品净值为0.998，则投资管理人不收取浮动管理费，客户最终收益为：1,000,000.00×（0.998-1.00）=-2000.00（元）。</w:t>
      </w:r>
    </w:p>
    <w:p w14:paraId="00103B26">
      <w:pPr>
        <w:adjustRightInd w:val="0"/>
        <w:snapToGrid w:val="0"/>
        <w:spacing w:line="286" w:lineRule="auto"/>
        <w:rPr>
          <w:sz w:val="18"/>
          <w:szCs w:val="18"/>
          <w:highlight w:val="none"/>
        </w:rPr>
      </w:pPr>
      <w:r>
        <w:rPr>
          <w:rFonts w:hint="eastAsia"/>
          <w:sz w:val="18"/>
          <w:szCs w:val="18"/>
          <w:highlight w:val="none"/>
        </w:rPr>
        <w:t>7、本金及理财收益风险</w:t>
      </w:r>
    </w:p>
    <w:p w14:paraId="24F2B5A6">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14:paraId="2BB57BAD">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14:paraId="4EA11773">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14:paraId="6D5FB029">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13DE5F2D">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14:paraId="45AB1D80">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14:paraId="587E9F8D">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14:paraId="41166AC0">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14:paraId="006C049B">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14:paraId="22360C6A">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14:paraId="3AD7C6F4">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14:paraId="17B67CF4">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14:paraId="66BA4BC2">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14:paraId="0DAF35FB">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14:paraId="521CF44D">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14:paraId="50177CFE">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14:paraId="5685EEB7">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14:paraId="6D726D6E">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14:paraId="50A9FEB7">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14:paraId="1BB57047">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14:paraId="41E89D3A">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14:paraId="0ED58338">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14:paraId="70FFB208">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14:paraId="5DC4175C">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14:paraId="325706C5">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14:paraId="5C89509F">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14:paraId="29235D7F">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14:paraId="412D2B81">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14:paraId="46F0FACF">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14:paraId="2F999257">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14:paraId="5686F9B9">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14:paraId="665B238C">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14:paraId="121E4054">
      <w:pPr>
        <w:pStyle w:val="16"/>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14:paraId="0B394AA8">
      <w:pPr>
        <w:pStyle w:val="16"/>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06961C2B">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14:paraId="3CD4CDE7">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6DF3241E">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14:paraId="29573AE4">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14:paraId="6FA17022">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14:paraId="0E203539">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14:paraId="7A28F4CA">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14:paraId="70CA02D6">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14:paraId="2FADC98B">
      <w:pPr>
        <w:adjustRightInd w:val="0"/>
        <w:snapToGrid w:val="0"/>
        <w:spacing w:line="286" w:lineRule="auto"/>
        <w:rPr>
          <w:b/>
          <w:sz w:val="18"/>
          <w:szCs w:val="18"/>
          <w:highlight w:val="none"/>
        </w:rPr>
      </w:pPr>
      <w:r>
        <w:rPr>
          <w:rFonts w:hint="eastAsia"/>
          <w:b/>
          <w:sz w:val="18"/>
          <w:szCs w:val="18"/>
          <w:highlight w:val="none"/>
        </w:rPr>
        <w:t>信息公告</w:t>
      </w:r>
    </w:p>
    <w:p w14:paraId="751CB81D">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14:paraId="697F2F62">
      <w:pPr>
        <w:adjustRightInd w:val="0"/>
        <w:snapToGrid w:val="0"/>
        <w:spacing w:line="286" w:lineRule="auto"/>
        <w:rPr>
          <w:sz w:val="18"/>
          <w:szCs w:val="18"/>
          <w:highlight w:val="none"/>
        </w:rPr>
      </w:pPr>
      <w:r>
        <w:rPr>
          <w:rFonts w:hint="eastAsia"/>
          <w:sz w:val="18"/>
          <w:szCs w:val="18"/>
          <w:highlight w:val="none"/>
        </w:rPr>
        <w:t>2、定期公告：</w:t>
      </w:r>
    </w:p>
    <w:p w14:paraId="7657E545">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14:paraId="462B54C8">
      <w:pPr>
        <w:adjustRightInd w:val="0"/>
        <w:snapToGrid w:val="0"/>
        <w:spacing w:line="286" w:lineRule="auto"/>
        <w:rPr>
          <w:sz w:val="18"/>
          <w:szCs w:val="18"/>
          <w:highlight w:val="none"/>
        </w:rPr>
      </w:pPr>
      <w:r>
        <w:rPr>
          <w:rFonts w:hint="eastAsia"/>
          <w:sz w:val="18"/>
          <w:szCs w:val="18"/>
          <w:highlight w:val="none"/>
        </w:rPr>
        <w:t>3、临时性公告</w:t>
      </w:r>
    </w:p>
    <w:p w14:paraId="01B3DF28">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72F1BC35">
      <w:pPr>
        <w:adjustRightInd w:val="0"/>
        <w:snapToGrid w:val="0"/>
        <w:spacing w:line="286" w:lineRule="auto"/>
        <w:rPr>
          <w:bCs/>
          <w:sz w:val="18"/>
          <w:szCs w:val="18"/>
          <w:highlight w:val="none"/>
        </w:rPr>
      </w:pPr>
      <w:r>
        <w:rPr>
          <w:rFonts w:hint="eastAsia"/>
          <w:bCs/>
          <w:sz w:val="18"/>
          <w:szCs w:val="18"/>
          <w:highlight w:val="none"/>
        </w:rPr>
        <w:t>（2）管理人将在运用暂停认购、暂停理财产品估值等措施后，3个交易日内发布相关事项公告，说明运用相关措施的原因、拟采取的应对安排等。</w:t>
      </w:r>
    </w:p>
    <w:p w14:paraId="38A687F9">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14:paraId="6F0CDA40">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14:paraId="105E5D11">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14:paraId="35BBC60A">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14:paraId="191CD138">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3636052A">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14:paraId="4021046C">
      <w:pPr>
        <w:adjustRightInd w:val="0"/>
        <w:snapToGrid w:val="0"/>
        <w:spacing w:line="286" w:lineRule="auto"/>
        <w:rPr>
          <w:b/>
          <w:bCs/>
          <w:sz w:val="18"/>
          <w:szCs w:val="18"/>
          <w:highlight w:val="none"/>
        </w:rPr>
      </w:pPr>
      <w:r>
        <w:rPr>
          <w:rFonts w:hint="eastAsia"/>
          <w:b/>
          <w:bCs/>
          <w:sz w:val="18"/>
          <w:szCs w:val="18"/>
          <w:highlight w:val="none"/>
        </w:rPr>
        <w:t>投资者信息管理</w:t>
      </w:r>
    </w:p>
    <w:p w14:paraId="20DF2D64">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14:paraId="11BE30B2">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14:paraId="6FD2A369">
      <w:pPr>
        <w:numPr>
          <w:ilvl w:val="0"/>
          <w:numId w:val="1"/>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14:paraId="7B8B627B">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14:paraId="0048C99A">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14:paraId="74656EDE">
      <w:pPr>
        <w:numPr>
          <w:ilvl w:val="0"/>
          <w:numId w:val="1"/>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14:paraId="568CF83E">
      <w:pPr>
        <w:adjustRightInd w:val="0"/>
        <w:snapToGrid w:val="0"/>
        <w:spacing w:line="286" w:lineRule="auto"/>
        <w:rPr>
          <w:b/>
          <w:sz w:val="18"/>
          <w:szCs w:val="18"/>
          <w:highlight w:val="none"/>
        </w:rPr>
      </w:pPr>
      <w:r>
        <w:rPr>
          <w:rFonts w:hint="eastAsia"/>
          <w:b/>
          <w:sz w:val="18"/>
          <w:szCs w:val="18"/>
          <w:highlight w:val="none"/>
        </w:rPr>
        <w:t>产品认购</w:t>
      </w:r>
    </w:p>
    <w:p w14:paraId="09E5C13E">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14:paraId="32FFF5DA">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14:paraId="2AFE50A1">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14:paraId="075084CB">
      <w:pPr>
        <w:adjustRightInd w:val="0"/>
        <w:snapToGrid w:val="0"/>
        <w:spacing w:line="286" w:lineRule="auto"/>
        <w:rPr>
          <w:sz w:val="18"/>
          <w:szCs w:val="18"/>
          <w:highlight w:val="none"/>
        </w:rPr>
      </w:pPr>
      <w:r>
        <w:rPr>
          <w:rFonts w:hint="eastAsia"/>
          <w:b/>
          <w:sz w:val="18"/>
          <w:szCs w:val="18"/>
          <w:highlight w:val="none"/>
        </w:rPr>
        <w:t>法律适用与争议解决</w:t>
      </w:r>
    </w:p>
    <w:p w14:paraId="319481D4">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14:paraId="7D4F6882">
      <w:pPr>
        <w:adjustRightInd w:val="0"/>
        <w:snapToGrid w:val="0"/>
        <w:spacing w:line="286" w:lineRule="auto"/>
        <w:rPr>
          <w:sz w:val="18"/>
          <w:szCs w:val="18"/>
          <w:highlight w:val="none"/>
        </w:rPr>
      </w:pPr>
      <w:r>
        <w:rPr>
          <w:rFonts w:hint="eastAsia"/>
          <w:sz w:val="18"/>
          <w:szCs w:val="18"/>
          <w:highlight w:val="none"/>
        </w:rPr>
        <w:t>2、争议解决</w:t>
      </w:r>
    </w:p>
    <w:p w14:paraId="3C7D4A73">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14:paraId="61B0F88B">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14:paraId="4383D79C">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26035</w:t>
      </w:r>
      <w:r>
        <w:rPr>
          <w:rFonts w:hint="eastAsia"/>
          <w:sz w:val="18"/>
          <w:szCs w:val="18"/>
          <w:highlight w:val="none"/>
        </w:rPr>
        <w:t>号（稳健低波款）银行理财计划风险揭示书》、《温州银行理财计划合约》和《温州银行理财产品投资者权益须知》等销售文件中的内容与本产品说明书不一致的，以本产品说明书约定的内容为准。</w:t>
      </w:r>
    </w:p>
    <w:p w14:paraId="14542F21">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14:paraId="1C94046E">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14F19">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14:paraId="41EB79A2">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5F0FFC"/>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17434"/>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4D1D6F"/>
    <w:rsid w:val="018C5462"/>
    <w:rsid w:val="01B25DFE"/>
    <w:rsid w:val="020D5912"/>
    <w:rsid w:val="035A360D"/>
    <w:rsid w:val="03C64591"/>
    <w:rsid w:val="04752421"/>
    <w:rsid w:val="04BB3044"/>
    <w:rsid w:val="05FC0197"/>
    <w:rsid w:val="06F87141"/>
    <w:rsid w:val="07425D93"/>
    <w:rsid w:val="07BB40C7"/>
    <w:rsid w:val="07C843AC"/>
    <w:rsid w:val="08D8385A"/>
    <w:rsid w:val="08EF38EC"/>
    <w:rsid w:val="09446D7E"/>
    <w:rsid w:val="098062CC"/>
    <w:rsid w:val="0A0F12B9"/>
    <w:rsid w:val="0A1675AA"/>
    <w:rsid w:val="0A887557"/>
    <w:rsid w:val="0AA36B82"/>
    <w:rsid w:val="0AB70251"/>
    <w:rsid w:val="0ABB5B86"/>
    <w:rsid w:val="0AC422DC"/>
    <w:rsid w:val="0AC90772"/>
    <w:rsid w:val="0BF132A6"/>
    <w:rsid w:val="0F6270FC"/>
    <w:rsid w:val="104F44D5"/>
    <w:rsid w:val="107F2121"/>
    <w:rsid w:val="10B17669"/>
    <w:rsid w:val="117B35A5"/>
    <w:rsid w:val="12A81C68"/>
    <w:rsid w:val="12B465CD"/>
    <w:rsid w:val="12EF58A8"/>
    <w:rsid w:val="135B1323"/>
    <w:rsid w:val="141472A9"/>
    <w:rsid w:val="14237D99"/>
    <w:rsid w:val="14F07B6A"/>
    <w:rsid w:val="17395C52"/>
    <w:rsid w:val="17CF37DD"/>
    <w:rsid w:val="17FB0939"/>
    <w:rsid w:val="18377CAF"/>
    <w:rsid w:val="18AD336C"/>
    <w:rsid w:val="191D5323"/>
    <w:rsid w:val="19E25A8D"/>
    <w:rsid w:val="1A5F6148"/>
    <w:rsid w:val="1C567043"/>
    <w:rsid w:val="1D13777C"/>
    <w:rsid w:val="1DFA3A85"/>
    <w:rsid w:val="1EBD7528"/>
    <w:rsid w:val="20DB6550"/>
    <w:rsid w:val="21751C04"/>
    <w:rsid w:val="22A04815"/>
    <w:rsid w:val="22A31981"/>
    <w:rsid w:val="22D525BD"/>
    <w:rsid w:val="23535C37"/>
    <w:rsid w:val="23F76394"/>
    <w:rsid w:val="244A5795"/>
    <w:rsid w:val="24C50961"/>
    <w:rsid w:val="25740E92"/>
    <w:rsid w:val="2648525A"/>
    <w:rsid w:val="26531D8B"/>
    <w:rsid w:val="268A5E41"/>
    <w:rsid w:val="275A751E"/>
    <w:rsid w:val="277A757E"/>
    <w:rsid w:val="27BD2B01"/>
    <w:rsid w:val="27DE6CFF"/>
    <w:rsid w:val="28076A45"/>
    <w:rsid w:val="285679DA"/>
    <w:rsid w:val="28C31174"/>
    <w:rsid w:val="296645C3"/>
    <w:rsid w:val="2ACF0E36"/>
    <w:rsid w:val="2AF9465D"/>
    <w:rsid w:val="2CA15A37"/>
    <w:rsid w:val="2D1D2B95"/>
    <w:rsid w:val="2EBC4B46"/>
    <w:rsid w:val="2F7E1AF7"/>
    <w:rsid w:val="2F862BC5"/>
    <w:rsid w:val="2F9646ED"/>
    <w:rsid w:val="313A7139"/>
    <w:rsid w:val="31AC46DA"/>
    <w:rsid w:val="322778BD"/>
    <w:rsid w:val="32683389"/>
    <w:rsid w:val="33134418"/>
    <w:rsid w:val="3318043A"/>
    <w:rsid w:val="34B828A9"/>
    <w:rsid w:val="36C936FE"/>
    <w:rsid w:val="37FBE007"/>
    <w:rsid w:val="392A0C82"/>
    <w:rsid w:val="39766FF2"/>
    <w:rsid w:val="3998390E"/>
    <w:rsid w:val="3A9532FB"/>
    <w:rsid w:val="3B23087F"/>
    <w:rsid w:val="3BBF210A"/>
    <w:rsid w:val="3C0741A4"/>
    <w:rsid w:val="3D150741"/>
    <w:rsid w:val="3D86300C"/>
    <w:rsid w:val="3E2566A4"/>
    <w:rsid w:val="3E32601D"/>
    <w:rsid w:val="3F7E5351"/>
    <w:rsid w:val="3FBD214F"/>
    <w:rsid w:val="4146226E"/>
    <w:rsid w:val="41691F8F"/>
    <w:rsid w:val="424649EA"/>
    <w:rsid w:val="43712A5A"/>
    <w:rsid w:val="438A31BB"/>
    <w:rsid w:val="4409550D"/>
    <w:rsid w:val="448736FC"/>
    <w:rsid w:val="457F5E93"/>
    <w:rsid w:val="45FA54E8"/>
    <w:rsid w:val="462B298E"/>
    <w:rsid w:val="489032CB"/>
    <w:rsid w:val="49292CBC"/>
    <w:rsid w:val="4CBDE6D6"/>
    <w:rsid w:val="4EFE40C2"/>
    <w:rsid w:val="4F6568BD"/>
    <w:rsid w:val="50366EBE"/>
    <w:rsid w:val="50856891"/>
    <w:rsid w:val="54133033"/>
    <w:rsid w:val="546F0E0A"/>
    <w:rsid w:val="56865A7D"/>
    <w:rsid w:val="56AB5155"/>
    <w:rsid w:val="57313966"/>
    <w:rsid w:val="57F910B3"/>
    <w:rsid w:val="58A26889"/>
    <w:rsid w:val="592F0A9E"/>
    <w:rsid w:val="5A6C6059"/>
    <w:rsid w:val="5AC90CB7"/>
    <w:rsid w:val="5BFD4CC1"/>
    <w:rsid w:val="5C497C75"/>
    <w:rsid w:val="5CED383B"/>
    <w:rsid w:val="5D0B2C53"/>
    <w:rsid w:val="5DD76B10"/>
    <w:rsid w:val="5DEA51A3"/>
    <w:rsid w:val="5E014390"/>
    <w:rsid w:val="5E777DB5"/>
    <w:rsid w:val="5F4A6202"/>
    <w:rsid w:val="5F751704"/>
    <w:rsid w:val="61E21802"/>
    <w:rsid w:val="623D1E92"/>
    <w:rsid w:val="627B657A"/>
    <w:rsid w:val="63F70027"/>
    <w:rsid w:val="6522045B"/>
    <w:rsid w:val="676E4757"/>
    <w:rsid w:val="67DC31E6"/>
    <w:rsid w:val="68785140"/>
    <w:rsid w:val="693E0188"/>
    <w:rsid w:val="699C4EA7"/>
    <w:rsid w:val="6D15771F"/>
    <w:rsid w:val="6F291A04"/>
    <w:rsid w:val="6FEC4E96"/>
    <w:rsid w:val="70EB3E10"/>
    <w:rsid w:val="715C0189"/>
    <w:rsid w:val="72D942D5"/>
    <w:rsid w:val="737D56CE"/>
    <w:rsid w:val="75E218ED"/>
    <w:rsid w:val="76592994"/>
    <w:rsid w:val="76C23463"/>
    <w:rsid w:val="76CB15CB"/>
    <w:rsid w:val="77146595"/>
    <w:rsid w:val="77638161"/>
    <w:rsid w:val="77E54CEB"/>
    <w:rsid w:val="780A54E7"/>
    <w:rsid w:val="78DA64D4"/>
    <w:rsid w:val="79632EC7"/>
    <w:rsid w:val="7AFF2EFC"/>
    <w:rsid w:val="7BCF7B64"/>
    <w:rsid w:val="7BFC1ED4"/>
    <w:rsid w:val="7E4B18D2"/>
    <w:rsid w:val="7E5E7DE2"/>
    <w:rsid w:val="7F77C802"/>
    <w:rsid w:val="7FCB2A93"/>
    <w:rsid w:val="7FD9EDC6"/>
    <w:rsid w:val="7FEC6AD2"/>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unhideWhenUsed/>
    <w:qFormat/>
    <w:uiPriority w:val="99"/>
    <w:pPr>
      <w:jc w:val="left"/>
    </w:pPr>
  </w:style>
  <w:style w:type="paragraph" w:styleId="3">
    <w:name w:val="Plain Text"/>
    <w:basedOn w:val="1"/>
    <w:link w:val="12"/>
    <w:unhideWhenUsed/>
    <w:qFormat/>
    <w:uiPriority w:val="99"/>
    <w:rPr>
      <w:rFonts w:ascii="宋体" w:hAnsi="Courier New"/>
      <w:kern w:val="0"/>
      <w:sz w:val="20"/>
      <w:szCs w:val="21"/>
    </w:rPr>
  </w:style>
  <w:style w:type="paragraph" w:styleId="4">
    <w:name w:val="Balloon Text"/>
    <w:basedOn w:val="1"/>
    <w:link w:val="13"/>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kern w:val="0"/>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批注文字 字符"/>
    <w:link w:val="2"/>
    <w:qFormat/>
    <w:uiPriority w:val="99"/>
    <w:rPr>
      <w:rFonts w:ascii="Times New Roman" w:hAnsi="Times New Roman"/>
      <w:kern w:val="2"/>
      <w:sz w:val="21"/>
    </w:rPr>
  </w:style>
  <w:style w:type="character" w:customStyle="1" w:styleId="12">
    <w:name w:val="纯文本 字符"/>
    <w:link w:val="3"/>
    <w:qFormat/>
    <w:uiPriority w:val="99"/>
    <w:rPr>
      <w:rFonts w:ascii="宋体" w:hAnsi="Courier New" w:eastAsia="宋体" w:cs="Courier New"/>
      <w:szCs w:val="21"/>
    </w:rPr>
  </w:style>
  <w:style w:type="character" w:customStyle="1" w:styleId="13">
    <w:name w:val="批注框文本 字符"/>
    <w:link w:val="4"/>
    <w:semiHidden/>
    <w:qFormat/>
    <w:uiPriority w:val="99"/>
    <w:rPr>
      <w:kern w:val="2"/>
      <w:sz w:val="18"/>
      <w:szCs w:val="18"/>
    </w:rPr>
  </w:style>
  <w:style w:type="character" w:customStyle="1" w:styleId="14">
    <w:name w:val="页脚 字符"/>
    <w:link w:val="5"/>
    <w:qFormat/>
    <w:uiPriority w:val="99"/>
    <w:rPr>
      <w:rFonts w:ascii="Calibri" w:hAnsi="Calibri" w:eastAsia="宋体" w:cs="Times New Roman"/>
      <w:kern w:val="0"/>
      <w:sz w:val="18"/>
      <w:szCs w:val="18"/>
    </w:rPr>
  </w:style>
  <w:style w:type="character" w:customStyle="1" w:styleId="15">
    <w:name w:val="页眉 字符"/>
    <w:link w:val="6"/>
    <w:qFormat/>
    <w:uiPriority w:val="99"/>
    <w:rPr>
      <w:kern w:val="2"/>
      <w:sz w:val="18"/>
      <w:szCs w:val="18"/>
    </w:rPr>
  </w:style>
  <w:style w:type="paragraph" w:styleId="16">
    <w:name w:val="List Paragraph"/>
    <w:basedOn w:val="1"/>
    <w:qFormat/>
    <w:uiPriority w:val="34"/>
    <w:pPr>
      <w:widowControl/>
      <w:ind w:firstLine="420"/>
    </w:pPr>
    <w:rPr>
      <w:rFonts w:cs="宋体"/>
      <w:kern w:val="0"/>
      <w:szCs w:val="21"/>
    </w:rPr>
  </w:style>
  <w:style w:type="paragraph" w:customStyle="1" w:styleId="17">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8">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13263</Words>
  <Characters>13850</Characters>
  <Lines>100</Lines>
  <Paragraphs>28</Paragraphs>
  <TotalTime>0</TotalTime>
  <ScaleCrop>false</ScaleCrop>
  <LinksUpToDate>false</LinksUpToDate>
  <CharactersWithSpaces>14143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大杰子啦</cp:lastModifiedBy>
  <dcterms:modified xsi:type="dcterms:W3CDTF">2026-09-24T03:26:54Z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