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F889EB">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26024</w:t>
      </w:r>
      <w:r>
        <w:rPr>
          <w:rFonts w:hint="eastAsia" w:ascii="黑体" w:eastAsia="黑体"/>
          <w:sz w:val="30"/>
          <w:szCs w:val="30"/>
          <w:highlight w:val="none"/>
        </w:rPr>
        <w:t>号（共同富裕特别款）</w:t>
      </w:r>
    </w:p>
    <w:p w14:paraId="605DB164">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14:paraId="68AFFCCC">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14:paraId="30C72FDF">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14:paraId="0E6C5B8D">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26024</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116</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14:paraId="7EC9D1A0">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14:paraId="764EAC12">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14:paraId="577E892C">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26024</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26024</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14:paraId="3318113C">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14:paraId="129DBEE1">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14:paraId="0467BD25">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14:paraId="265B88CE">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14:paraId="1268C7D3">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14:paraId="21B49B13">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14:paraId="554448B6">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14:paraId="21A9E07C">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14:paraId="109D6479">
      <w:pPr>
        <w:adjustRightInd w:val="0"/>
        <w:snapToGrid w:val="0"/>
        <w:spacing w:line="360" w:lineRule="auto"/>
        <w:ind w:firstLine="840" w:firstLineChars="400"/>
        <w:rPr>
          <w:rFonts w:ascii="宋体" w:hAnsi="宋体"/>
          <w:szCs w:val="21"/>
          <w:highlight w:val="none"/>
        </w:rPr>
      </w:pPr>
    </w:p>
    <w:p w14:paraId="5589B626">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4EBDABA0">
      <w:pPr>
        <w:pStyle w:val="20"/>
        <w:adjustRightInd w:val="0"/>
        <w:snapToGrid w:val="0"/>
        <w:spacing w:before="0" w:beforeAutospacing="0" w:after="0" w:afterAutospacing="0" w:line="360" w:lineRule="auto"/>
        <w:jc w:val="center"/>
        <w:rPr>
          <w:rFonts w:ascii="黑体" w:eastAsia="黑体"/>
          <w:bCs/>
          <w:sz w:val="30"/>
          <w:szCs w:val="30"/>
          <w:highlight w:val="none"/>
        </w:rPr>
      </w:pPr>
    </w:p>
    <w:p w14:paraId="5E7DEA82">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14:paraId="4D9F835D">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26024</w:t>
      </w:r>
      <w:r>
        <w:rPr>
          <w:rFonts w:hint="eastAsia" w:ascii="黑体" w:eastAsia="黑体"/>
          <w:bCs/>
          <w:sz w:val="30"/>
          <w:szCs w:val="30"/>
          <w:highlight w:val="none"/>
        </w:rPr>
        <w:t>号（共同富裕特别款）</w:t>
      </w:r>
    </w:p>
    <w:p w14:paraId="6FF0DD3E">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14:paraId="6958E76E">
      <w:pPr>
        <w:adjustRightInd w:val="0"/>
        <w:snapToGrid w:val="0"/>
        <w:spacing w:before="120" w:line="300" w:lineRule="auto"/>
        <w:rPr>
          <w:b/>
          <w:sz w:val="18"/>
          <w:szCs w:val="18"/>
          <w:highlight w:val="none"/>
        </w:rPr>
      </w:pPr>
      <w:r>
        <w:rPr>
          <w:rFonts w:hint="eastAsia"/>
          <w:b/>
          <w:sz w:val="18"/>
          <w:szCs w:val="18"/>
          <w:highlight w:val="none"/>
        </w:rPr>
        <w:t>重要须知</w:t>
      </w:r>
    </w:p>
    <w:p w14:paraId="38FFE62E">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14:paraId="5A36F72B">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14:paraId="11CC52DD">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14:paraId="1651CF6C">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14:paraId="27E24D23">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14:paraId="49D06A46">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14:paraId="79E4232E">
      <w:pPr>
        <w:adjustRightInd w:val="0"/>
        <w:snapToGrid w:val="0"/>
        <w:spacing w:line="300" w:lineRule="auto"/>
        <w:rPr>
          <w:b/>
          <w:sz w:val="18"/>
          <w:szCs w:val="18"/>
          <w:highlight w:val="none"/>
        </w:rPr>
      </w:pPr>
      <w:r>
        <w:rPr>
          <w:rFonts w:hint="eastAsia"/>
          <w:b/>
          <w:sz w:val="18"/>
          <w:szCs w:val="18"/>
          <w:highlight w:val="none"/>
        </w:rPr>
        <w:t>释义</w:t>
      </w:r>
    </w:p>
    <w:p w14:paraId="469A90C1">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14:paraId="35E0A938">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26024</w:t>
      </w:r>
      <w:r>
        <w:rPr>
          <w:rFonts w:hint="eastAsia"/>
          <w:sz w:val="18"/>
          <w:szCs w:val="18"/>
          <w:highlight w:val="none"/>
        </w:rPr>
        <w:t>号（共同富裕特别款）银行理财计划</w:t>
      </w:r>
    </w:p>
    <w:p w14:paraId="024EE9DB">
      <w:pPr>
        <w:adjustRightInd w:val="0"/>
        <w:snapToGrid w:val="0"/>
        <w:spacing w:line="300" w:lineRule="auto"/>
        <w:rPr>
          <w:sz w:val="18"/>
          <w:szCs w:val="18"/>
          <w:highlight w:val="none"/>
        </w:rPr>
      </w:pPr>
      <w:r>
        <w:rPr>
          <w:rFonts w:hint="eastAsia"/>
          <w:sz w:val="18"/>
          <w:szCs w:val="18"/>
          <w:highlight w:val="none"/>
        </w:rPr>
        <w:t>发行银行：指温州银行股份有限公司</w:t>
      </w:r>
    </w:p>
    <w:p w14:paraId="6D54B05B">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14:paraId="75D1750B">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14:paraId="6AA5C31B">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14:paraId="1AB6F790">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77B0E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4AE5086D">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14:paraId="0B873C86">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14:paraId="573AB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2529B965">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14:paraId="59E62EF8">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14:paraId="56493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4D68EC6D">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14:paraId="07992591">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14:paraId="0290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D6B83D7">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14:paraId="56B8C2E1">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14:paraId="6EC1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8354B1F">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14:paraId="1E357BDA">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14:paraId="3F607C88">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14:paraId="49A30BB7">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14:paraId="49A30BB7">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45622F2">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14:paraId="22CC99F8">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14:paraId="6F4BE408">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0635978">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76C8405">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14:paraId="4646028F">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14:paraId="745622F2">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14:paraId="22CC99F8">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14:paraId="6F4BE408">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14:paraId="50635978">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14:paraId="776C8405">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14:paraId="4646028F">
                        <w:pPr>
                          <w:jc w:val="center"/>
                          <w:rPr>
                            <w:sz w:val="18"/>
                            <w:szCs w:val="18"/>
                          </w:rPr>
                        </w:pPr>
                        <w:r>
                          <w:rPr>
                            <w:rFonts w:hint="eastAsia"/>
                            <w:sz w:val="18"/>
                            <w:szCs w:val="18"/>
                          </w:rPr>
                          <w:t>风险程度</w:t>
                        </w:r>
                      </w:p>
                    </w:txbxContent>
                  </v:textbox>
                </v:rect>
                <w10:wrap type="none"/>
                <w10:anchorlock/>
              </v:group>
            </w:pict>
          </mc:Fallback>
        </mc:AlternateContent>
      </w:r>
    </w:p>
    <w:p w14:paraId="7DD12D18">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。在本理财产品存续期内，本理财产品风险等级可能会进行调整。该评级仅是温州银行内部测评结果，仅供投资者参考，不具有任何法律约束力。</w:t>
      </w:r>
    </w:p>
    <w:p w14:paraId="613FCA86">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2FAA3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13EFCE43">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1BBBC7DD">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26024</w:t>
            </w:r>
            <w:r>
              <w:rPr>
                <w:sz w:val="18"/>
                <w:szCs w:val="18"/>
                <w:highlight w:val="none"/>
              </w:rPr>
              <w:t>号</w:t>
            </w:r>
            <w:r>
              <w:rPr>
                <w:rFonts w:hint="eastAsia"/>
                <w:sz w:val="18"/>
                <w:szCs w:val="18"/>
                <w:highlight w:val="none"/>
              </w:rPr>
              <w:t>（共同富裕特别款）银行理财计划</w:t>
            </w:r>
          </w:p>
        </w:tc>
      </w:tr>
      <w:tr w14:paraId="492F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F6E7192">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10A9B0CA">
            <w:pPr>
              <w:adjustRightInd w:val="0"/>
              <w:snapToGrid w:val="0"/>
              <w:spacing w:line="288" w:lineRule="auto"/>
              <w:jc w:val="center"/>
              <w:rPr>
                <w:sz w:val="18"/>
                <w:szCs w:val="18"/>
                <w:highlight w:val="none"/>
              </w:rPr>
            </w:pPr>
            <w:r>
              <w:rPr>
                <w:color w:val="000000"/>
                <w:sz w:val="18"/>
                <w:szCs w:val="18"/>
                <w:highlight w:val="none"/>
              </w:rPr>
              <w:t>JX2624</w:t>
            </w:r>
          </w:p>
        </w:tc>
      </w:tr>
      <w:tr w14:paraId="35370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CB21D20">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584D4DBD">
            <w:pPr>
              <w:adjustRightInd w:val="0"/>
              <w:snapToGrid w:val="0"/>
              <w:spacing w:line="288" w:lineRule="auto"/>
              <w:jc w:val="center"/>
              <w:rPr>
                <w:sz w:val="18"/>
                <w:szCs w:val="18"/>
                <w:highlight w:val="none"/>
              </w:rPr>
            </w:pPr>
            <w:r>
              <w:rPr>
                <w:color w:val="000000"/>
                <w:sz w:val="18"/>
                <w:szCs w:val="18"/>
                <w:highlight w:val="none"/>
              </w:rPr>
              <w:t>C1092226000057</w:t>
            </w:r>
          </w:p>
          <w:p w14:paraId="3BA034B1">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14:paraId="1629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5C46EFD">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14:paraId="5A71BA89">
            <w:pPr>
              <w:adjustRightInd w:val="0"/>
              <w:snapToGrid w:val="0"/>
              <w:spacing w:line="288" w:lineRule="auto"/>
              <w:jc w:val="center"/>
              <w:rPr>
                <w:sz w:val="18"/>
                <w:szCs w:val="18"/>
                <w:highlight w:val="none"/>
              </w:rPr>
            </w:pPr>
            <w:r>
              <w:rPr>
                <w:rFonts w:hint="eastAsia"/>
                <w:sz w:val="18"/>
                <w:szCs w:val="18"/>
                <w:highlight w:val="none"/>
              </w:rPr>
              <w:t>封闭式净值型</w:t>
            </w:r>
          </w:p>
        </w:tc>
      </w:tr>
      <w:tr w14:paraId="0191D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1072ED4">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0F33F113">
            <w:pPr>
              <w:adjustRightInd w:val="0"/>
              <w:snapToGrid w:val="0"/>
              <w:spacing w:line="288" w:lineRule="auto"/>
              <w:jc w:val="center"/>
              <w:rPr>
                <w:sz w:val="18"/>
                <w:szCs w:val="18"/>
                <w:highlight w:val="none"/>
              </w:rPr>
            </w:pPr>
            <w:r>
              <w:rPr>
                <w:rFonts w:hint="eastAsia"/>
                <w:sz w:val="18"/>
                <w:szCs w:val="18"/>
                <w:highlight w:val="none"/>
              </w:rPr>
              <w:t>固定收益类</w:t>
            </w:r>
          </w:p>
        </w:tc>
      </w:tr>
      <w:tr w14:paraId="6D4B7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59CFEFD">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54D5516F">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14:paraId="398E8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47B00FF">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576D79CB">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14:paraId="3400F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6082D30">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6FCB4E10">
            <w:pPr>
              <w:adjustRightInd w:val="0"/>
              <w:snapToGrid w:val="0"/>
              <w:spacing w:line="288" w:lineRule="auto"/>
              <w:jc w:val="center"/>
              <w:rPr>
                <w:sz w:val="18"/>
                <w:szCs w:val="18"/>
                <w:highlight w:val="none"/>
              </w:rPr>
            </w:pPr>
            <w:r>
              <w:rPr>
                <w:rFonts w:hint="eastAsia"/>
                <w:sz w:val="18"/>
                <w:szCs w:val="18"/>
                <w:highlight w:val="none"/>
              </w:rPr>
              <w:t>公募</w:t>
            </w:r>
          </w:p>
        </w:tc>
      </w:tr>
      <w:tr w14:paraId="0370F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AC3F4FE">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14:paraId="22585A9F">
            <w:pPr>
              <w:adjustRightInd w:val="0"/>
              <w:snapToGrid w:val="0"/>
              <w:spacing w:line="288" w:lineRule="auto"/>
              <w:jc w:val="center"/>
              <w:rPr>
                <w:sz w:val="18"/>
                <w:szCs w:val="18"/>
                <w:highlight w:val="none"/>
              </w:rPr>
            </w:pPr>
            <w:r>
              <w:rPr>
                <w:rFonts w:hint="eastAsia"/>
                <w:color w:val="000000"/>
                <w:sz w:val="18"/>
                <w:szCs w:val="18"/>
                <w:u w:val="single"/>
                <w:lang w:val="en-US" w:eastAsia="zh-CN"/>
              </w:rPr>
              <w:t>116</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14:paraId="3F0F9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14:paraId="46AEF0FF">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14:paraId="4D98BE2D">
            <w:pPr>
              <w:adjustRightInd w:val="0"/>
              <w:snapToGrid w:val="0"/>
              <w:spacing w:line="288" w:lineRule="auto"/>
              <w:jc w:val="center"/>
              <w:rPr>
                <w:sz w:val="18"/>
                <w:szCs w:val="18"/>
                <w:highlight w:val="none"/>
              </w:rPr>
            </w:pPr>
            <w:r>
              <w:rPr>
                <w:rFonts w:hint="eastAsia"/>
                <w:sz w:val="18"/>
                <w:szCs w:val="18"/>
                <w:highlight w:val="none"/>
              </w:rPr>
              <w:t>人民币</w:t>
            </w:r>
          </w:p>
        </w:tc>
      </w:tr>
      <w:tr w14:paraId="24C5A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245A3DB">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72440493">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14:paraId="0A3B4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7A78D759">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14:paraId="75A5F9CD">
            <w:pPr>
              <w:adjustRightInd w:val="0"/>
              <w:snapToGrid w:val="0"/>
              <w:spacing w:line="288" w:lineRule="auto"/>
              <w:jc w:val="center"/>
              <w:rPr>
                <w:sz w:val="18"/>
                <w:szCs w:val="18"/>
                <w:highlight w:val="none"/>
                <w:u w:val="single"/>
              </w:rPr>
            </w:pPr>
            <w:r>
              <w:rPr>
                <w:color w:val="000000"/>
                <w:sz w:val="18"/>
                <w:highlight w:val="none"/>
                <w:u w:val="single"/>
              </w:rPr>
              <w:t>2026年9月30日</w:t>
            </w:r>
            <w:r>
              <w:rPr>
                <w:rFonts w:hint="eastAsia"/>
                <w:sz w:val="18"/>
                <w:highlight w:val="none"/>
                <w:u w:val="single"/>
              </w:rPr>
              <w:t>至</w:t>
            </w:r>
            <w:r>
              <w:rPr>
                <w:color w:val="000000"/>
                <w:sz w:val="18"/>
                <w:highlight w:val="none"/>
                <w:u w:val="single"/>
              </w:rPr>
              <w:t>2026年10月7日</w:t>
            </w:r>
          </w:p>
        </w:tc>
      </w:tr>
      <w:tr w14:paraId="3721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7AC109A">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439B29F9">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14:paraId="3C99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A78FFBA">
            <w:pPr>
              <w:adjustRightInd w:val="0"/>
              <w:snapToGrid w:val="0"/>
              <w:spacing w:line="288" w:lineRule="auto"/>
              <w:jc w:val="center"/>
              <w:rPr>
                <w:sz w:val="18"/>
                <w:szCs w:val="18"/>
                <w:highlight w:val="none"/>
              </w:rPr>
            </w:pPr>
            <w:r>
              <w:rPr>
                <w:rFonts w:hint="eastAsia"/>
                <w:sz w:val="18"/>
                <w:szCs w:val="18"/>
                <w:highlight w:val="none"/>
              </w:rPr>
              <w:t>理财开始日</w:t>
            </w:r>
          </w:p>
          <w:p w14:paraId="56C66674">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14:paraId="3294FC92">
            <w:pPr>
              <w:adjustRightInd w:val="0"/>
              <w:snapToGrid w:val="0"/>
              <w:spacing w:line="288" w:lineRule="auto"/>
              <w:jc w:val="center"/>
              <w:rPr>
                <w:sz w:val="18"/>
                <w:szCs w:val="18"/>
                <w:highlight w:val="none"/>
                <w:u w:val="single"/>
              </w:rPr>
            </w:pPr>
            <w:r>
              <w:rPr>
                <w:rFonts w:hint="eastAsia"/>
                <w:color w:val="000000"/>
                <w:sz w:val="18"/>
                <w:szCs w:val="18"/>
                <w:u w:val="single"/>
                <w:lang w:val="en-US" w:eastAsia="zh-CN"/>
              </w:rPr>
              <w:t>2026年10月8日</w:t>
            </w:r>
          </w:p>
        </w:tc>
      </w:tr>
      <w:tr w14:paraId="69E86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75C092D">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14:paraId="07D3AA66">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2027年2月1日</w:t>
            </w:r>
          </w:p>
        </w:tc>
      </w:tr>
      <w:tr w14:paraId="077F3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F00AADD">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14:paraId="68AA3E10">
            <w:pPr>
              <w:adjustRightInd w:val="0"/>
              <w:snapToGrid w:val="0"/>
              <w:spacing w:line="288" w:lineRule="auto"/>
              <w:jc w:val="center"/>
              <w:rPr>
                <w:sz w:val="18"/>
                <w:szCs w:val="18"/>
                <w:highlight w:val="none"/>
              </w:rPr>
            </w:pPr>
            <w:r>
              <w:rPr>
                <w:rFonts w:hint="eastAsia"/>
                <w:color w:val="000000"/>
                <w:sz w:val="18"/>
                <w:szCs w:val="18"/>
                <w:lang w:val="en-US" w:eastAsia="zh-CN"/>
              </w:rPr>
              <w:t>2.10%</w:t>
            </w:r>
            <w:r>
              <w:rPr>
                <w:rFonts w:hint="eastAsia"/>
                <w:sz w:val="18"/>
                <w:szCs w:val="18"/>
                <w:highlight w:val="none"/>
              </w:rPr>
              <w:t>（年化）</w:t>
            </w:r>
          </w:p>
          <w:p w14:paraId="142A9B6C">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14:paraId="1B73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4474DE87">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14:paraId="1712E3DE">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14:paraId="4BD03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635117C1">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70DE4536">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14:paraId="22358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5543C7C">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2851A74">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14:paraId="0DD10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2159C77">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319B1AF1">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14:paraId="38EC7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E600C03">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14:paraId="08D311D3">
            <w:pPr>
              <w:adjustRightInd w:val="0"/>
              <w:snapToGrid w:val="0"/>
              <w:spacing w:line="288" w:lineRule="auto"/>
              <w:rPr>
                <w:rFonts w:hint="eastAsia" w:eastAsia="宋体"/>
                <w:sz w:val="18"/>
                <w:szCs w:val="18"/>
                <w:highlight w:val="none"/>
                <w:lang w:eastAsia="zh-CN"/>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14:paraId="6F60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5488FCA">
            <w:pPr>
              <w:adjustRightInd w:val="0"/>
              <w:snapToGrid w:val="0"/>
              <w:spacing w:line="288" w:lineRule="auto"/>
              <w:jc w:val="center"/>
              <w:rPr>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14:paraId="2711C2A9">
            <w:pPr>
              <w:adjustRightInd w:val="0"/>
              <w:snapToGrid w:val="0"/>
              <w:spacing w:line="288" w:lineRule="auto"/>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不得超过总份额的50%；投资者持有份额的计算以管理人登记为准。</w:t>
            </w:r>
          </w:p>
        </w:tc>
      </w:tr>
      <w:tr w14:paraId="48F9A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1C5FBBE6">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6A75B399">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14:paraId="2307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535A730F">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59F9FF62">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14:paraId="2AF4B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FC88104">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14:paraId="15E30133">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14:paraId="5C82C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071A4F82">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4F93FEF2">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14:paraId="0D9E4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ED3661B">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7095AB4C">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74A04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2E6CBF12">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4397E41B">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14:paraId="5E55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9392C5F">
            <w:pPr>
              <w:adjustRightInd w:val="0"/>
              <w:snapToGrid w:val="0"/>
              <w:spacing w:line="288" w:lineRule="auto"/>
              <w:jc w:val="center"/>
              <w:rPr>
                <w:rFonts w:hint="eastAsia" w:eastAsia="宋体"/>
                <w:sz w:val="18"/>
                <w:szCs w:val="18"/>
                <w:highlight w:val="none"/>
                <w:lang w:val="en-US" w:eastAsia="zh-CN"/>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14:paraId="131370FE">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14:paraId="4F74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14:paraId="38DD4C8E">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7D524B8A">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14:paraId="5CF0F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14:paraId="2DAD78A5">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23263F5F">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14:paraId="1D3A02E1">
      <w:pPr>
        <w:adjustRightInd w:val="0"/>
        <w:snapToGrid w:val="0"/>
        <w:spacing w:before="156" w:beforeLines="50" w:line="300" w:lineRule="auto"/>
        <w:rPr>
          <w:b/>
          <w:sz w:val="18"/>
          <w:szCs w:val="18"/>
          <w:highlight w:val="none"/>
        </w:rPr>
      </w:pPr>
      <w:r>
        <w:rPr>
          <w:rFonts w:hint="eastAsia"/>
          <w:b/>
          <w:sz w:val="18"/>
          <w:szCs w:val="18"/>
          <w:highlight w:val="none"/>
        </w:rPr>
        <w:t>投资管理</w:t>
      </w:r>
    </w:p>
    <w:p w14:paraId="5ABA41BF">
      <w:pPr>
        <w:adjustRightInd w:val="0"/>
        <w:snapToGrid w:val="0"/>
        <w:spacing w:line="300" w:lineRule="auto"/>
        <w:rPr>
          <w:sz w:val="18"/>
          <w:szCs w:val="18"/>
          <w:highlight w:val="none"/>
        </w:rPr>
      </w:pPr>
      <w:r>
        <w:rPr>
          <w:rFonts w:hint="eastAsia"/>
          <w:sz w:val="18"/>
          <w:szCs w:val="18"/>
          <w:highlight w:val="none"/>
        </w:rPr>
        <w:t>1、投资范围</w:t>
      </w:r>
    </w:p>
    <w:p w14:paraId="25D631F5">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14:paraId="4212E8C4">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14:paraId="4E7639E2">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14:paraId="2F20517B">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14:paraId="3A78528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14:paraId="1541EDFD">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14:paraId="641AB50F">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14:paraId="754DF511">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14:paraId="2709A2FA">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14:paraId="7EE939F5">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14:paraId="763D11B4">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14:paraId="1D116299">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14:paraId="4AFBFF79">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30B28ECD">
      <w:pPr>
        <w:adjustRightInd w:val="0"/>
        <w:snapToGrid w:val="0"/>
        <w:spacing w:line="286" w:lineRule="auto"/>
        <w:rPr>
          <w:sz w:val="18"/>
          <w:szCs w:val="18"/>
          <w:highlight w:val="none"/>
        </w:rPr>
      </w:pPr>
      <w:r>
        <w:rPr>
          <w:rFonts w:hint="eastAsia"/>
          <w:sz w:val="18"/>
          <w:szCs w:val="18"/>
          <w:highlight w:val="none"/>
        </w:rPr>
        <w:t>3、投资策略</w:t>
      </w:r>
    </w:p>
    <w:p w14:paraId="49E21930">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14:paraId="0156C1CA">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14:paraId="2DF50BF5">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14:paraId="7CEAA4EC">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14:paraId="57EC6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14:paraId="6297CC6E">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14:paraId="7150A643">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14:paraId="2C1EF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14:paraId="4AD90C9A">
            <w:pPr>
              <w:adjustRightInd w:val="0"/>
              <w:snapToGrid w:val="0"/>
              <w:spacing w:line="286" w:lineRule="auto"/>
              <w:rPr>
                <w:rFonts w:hint="eastAsia"/>
                <w:sz w:val="18"/>
                <w:szCs w:val="18"/>
                <w:highlight w:val="none"/>
                <w:vertAlign w:val="baseline"/>
                <w:lang w:eastAsia="zh-CN"/>
              </w:rPr>
            </w:pPr>
          </w:p>
        </w:tc>
        <w:tc>
          <w:tcPr>
            <w:tcW w:w="2500" w:type="pct"/>
          </w:tcPr>
          <w:p w14:paraId="2DA85F31">
            <w:pPr>
              <w:adjustRightInd w:val="0"/>
              <w:snapToGrid w:val="0"/>
              <w:spacing w:line="286" w:lineRule="auto"/>
              <w:rPr>
                <w:rFonts w:hint="eastAsia"/>
                <w:sz w:val="18"/>
                <w:szCs w:val="18"/>
                <w:highlight w:val="none"/>
                <w:vertAlign w:val="baseline"/>
                <w:lang w:eastAsia="zh-CN"/>
              </w:rPr>
            </w:pPr>
          </w:p>
        </w:tc>
      </w:tr>
    </w:tbl>
    <w:p w14:paraId="12403E18">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14:paraId="14DC72D2">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14:paraId="55FAE6A2">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14:paraId="0917D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38348FBC">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14:paraId="07D75AFA">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14:paraId="0D055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6354246A">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14:paraId="343DADD7">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14:paraId="7032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748CAB87">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14:paraId="4098287A">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14:paraId="7F14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7BF8B405">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14:paraId="0B33E0BE">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14:paraId="3AB091AF">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14:paraId="3703A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3A7EA272">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14:paraId="51482CCD">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14:paraId="1127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31D8D575">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14:paraId="4E7FC349">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14:paraId="2012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56BD86D3">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14:paraId="3A596EA0">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14:paraId="09E89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073686C7">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14:paraId="22CA2597">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14:paraId="541F29C8">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14:paraId="4A63F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6D322E52">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14:paraId="2E507E71">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14:paraId="5148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2B50ACCC">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14:paraId="3AD11342">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14:paraId="30CE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666B8197">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14:paraId="5DC037AD">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14:paraId="3C99F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14:paraId="0D9C54C7">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14:paraId="43D175D1">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14:paraId="5DD39146">
      <w:pPr>
        <w:adjustRightInd w:val="0"/>
        <w:snapToGrid w:val="0"/>
        <w:spacing w:line="286" w:lineRule="auto"/>
        <w:rPr>
          <w:sz w:val="18"/>
          <w:szCs w:val="18"/>
          <w:highlight w:val="none"/>
        </w:rPr>
      </w:pPr>
      <w:r>
        <w:rPr>
          <w:rFonts w:hint="eastAsia"/>
          <w:b/>
          <w:bCs/>
          <w:sz w:val="18"/>
          <w:szCs w:val="18"/>
          <w:highlight w:val="none"/>
        </w:rPr>
        <w:t>投资合作机构</w:t>
      </w:r>
    </w:p>
    <w:p w14:paraId="3184266F">
      <w:pPr>
        <w:adjustRightInd w:val="0"/>
        <w:snapToGrid w:val="0"/>
        <w:spacing w:line="278"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highlight w:val="none"/>
        </w:rPr>
        <w:t>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22"/>
          <w:rFonts w:hint="eastAsia" w:ascii="宋体" w:hAnsi="宋体"/>
          <w:sz w:val="18"/>
          <w:szCs w:val="18"/>
          <w:highlight w:val="none"/>
        </w:rPr>
        <w:t>www.wzbank.cn</w:t>
      </w:r>
      <w:r>
        <w:rPr>
          <w:rStyle w:val="22"/>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14:paraId="60D5991F">
      <w:pPr>
        <w:adjustRightInd w:val="0"/>
        <w:snapToGrid w:val="0"/>
        <w:spacing w:line="286" w:lineRule="auto"/>
        <w:rPr>
          <w:b/>
          <w:bCs/>
          <w:sz w:val="18"/>
          <w:szCs w:val="18"/>
          <w:highlight w:val="none"/>
        </w:rPr>
      </w:pPr>
      <w:r>
        <w:rPr>
          <w:rFonts w:hint="eastAsia"/>
          <w:b/>
          <w:bCs/>
          <w:sz w:val="18"/>
          <w:szCs w:val="18"/>
          <w:highlight w:val="none"/>
        </w:rPr>
        <w:t>理财产品估值</w:t>
      </w:r>
    </w:p>
    <w:p w14:paraId="4CFC771A">
      <w:pPr>
        <w:adjustRightInd w:val="0"/>
        <w:snapToGrid w:val="0"/>
        <w:spacing w:line="286" w:lineRule="auto"/>
        <w:rPr>
          <w:sz w:val="18"/>
          <w:szCs w:val="18"/>
          <w:highlight w:val="none"/>
        </w:rPr>
      </w:pPr>
      <w:r>
        <w:rPr>
          <w:rFonts w:hint="eastAsia"/>
          <w:sz w:val="18"/>
          <w:szCs w:val="18"/>
          <w:highlight w:val="none"/>
        </w:rPr>
        <w:t xml:space="preserve">【估值日】 </w:t>
      </w:r>
    </w:p>
    <w:p w14:paraId="30068039">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14:paraId="024C63F9">
      <w:pPr>
        <w:adjustRightInd w:val="0"/>
        <w:snapToGrid w:val="0"/>
        <w:spacing w:line="286" w:lineRule="auto"/>
        <w:rPr>
          <w:rFonts w:hint="eastAsia"/>
          <w:sz w:val="18"/>
          <w:szCs w:val="18"/>
          <w:highlight w:val="none"/>
        </w:rPr>
      </w:pPr>
      <w:r>
        <w:rPr>
          <w:rFonts w:hint="eastAsia"/>
          <w:sz w:val="18"/>
          <w:szCs w:val="18"/>
          <w:highlight w:val="none"/>
        </w:rPr>
        <w:t>【估值对象】</w:t>
      </w:r>
    </w:p>
    <w:p w14:paraId="2A9B60C3">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14:paraId="1D5B4248">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14:paraId="0E0B9CE5">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14:paraId="354DF37C">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14:paraId="675D77F9">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14:paraId="5FBB7866">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14:paraId="4894DD58">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14:paraId="5EB21E9D">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14:paraId="30A46D8C">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14:paraId="0FD7DE25">
      <w:pPr>
        <w:adjustRightInd w:val="0"/>
        <w:snapToGrid w:val="0"/>
        <w:spacing w:line="286" w:lineRule="auto"/>
        <w:rPr>
          <w:rFonts w:hint="eastAsia"/>
          <w:sz w:val="18"/>
          <w:szCs w:val="18"/>
          <w:highlight w:val="none"/>
        </w:rPr>
      </w:pPr>
      <w:r>
        <w:rPr>
          <w:rFonts w:hint="eastAsia"/>
          <w:sz w:val="18"/>
          <w:szCs w:val="18"/>
          <w:highlight w:val="none"/>
        </w:rPr>
        <w:t>1、货币市场工具：</w:t>
      </w:r>
    </w:p>
    <w:p w14:paraId="07E80E39">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14:paraId="7A7A1AF8">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37A3068D">
      <w:pPr>
        <w:adjustRightInd w:val="0"/>
        <w:snapToGrid w:val="0"/>
        <w:spacing w:line="286" w:lineRule="auto"/>
        <w:rPr>
          <w:rFonts w:hint="eastAsia"/>
          <w:sz w:val="18"/>
          <w:szCs w:val="18"/>
          <w:highlight w:val="none"/>
        </w:rPr>
      </w:pPr>
      <w:r>
        <w:rPr>
          <w:rFonts w:hint="eastAsia"/>
          <w:sz w:val="18"/>
          <w:szCs w:val="18"/>
          <w:highlight w:val="none"/>
        </w:rPr>
        <w:t>2、债券类资产：</w:t>
      </w:r>
    </w:p>
    <w:p w14:paraId="5A2C59B0">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14:paraId="798CC569">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14:paraId="38D1E561">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14:paraId="2AF0ECCC">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14:paraId="7893D316">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14:paraId="7BE71FD1">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14:paraId="705450D0">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14:paraId="601F6162">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14:paraId="2AE32144">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05613083">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6EEE0E5">
      <w:pPr>
        <w:adjustRightInd w:val="0"/>
        <w:snapToGrid w:val="0"/>
        <w:spacing w:line="286" w:lineRule="auto"/>
        <w:rPr>
          <w:sz w:val="18"/>
          <w:szCs w:val="18"/>
          <w:highlight w:val="none"/>
        </w:rPr>
      </w:pPr>
      <w:r>
        <w:rPr>
          <w:rFonts w:hint="eastAsia"/>
          <w:sz w:val="18"/>
          <w:szCs w:val="18"/>
          <w:highlight w:val="none"/>
        </w:rPr>
        <w:t>【暂停估值】</w:t>
      </w:r>
    </w:p>
    <w:p w14:paraId="477F3103">
      <w:pPr>
        <w:adjustRightInd w:val="0"/>
        <w:snapToGrid w:val="0"/>
        <w:spacing w:line="286" w:lineRule="auto"/>
        <w:rPr>
          <w:sz w:val="18"/>
          <w:szCs w:val="18"/>
          <w:highlight w:val="none"/>
        </w:rPr>
      </w:pPr>
      <w:r>
        <w:rPr>
          <w:rFonts w:hint="eastAsia"/>
          <w:sz w:val="18"/>
          <w:szCs w:val="18"/>
          <w:highlight w:val="none"/>
        </w:rPr>
        <w:t>本理财计划可暂停估值的情形如下：</w:t>
      </w:r>
    </w:p>
    <w:p w14:paraId="1A42C41D">
      <w:pPr>
        <w:numPr>
          <w:ilvl w:val="0"/>
          <w:numId w:val="1"/>
        </w:numPr>
        <w:adjustRightInd w:val="0"/>
        <w:snapToGrid w:val="0"/>
        <w:spacing w:line="286" w:lineRule="auto"/>
        <w:rPr>
          <w:sz w:val="18"/>
          <w:szCs w:val="18"/>
          <w:highlight w:val="none"/>
        </w:rPr>
      </w:pPr>
      <w:r>
        <w:rPr>
          <w:rFonts w:hint="eastAsia"/>
          <w:sz w:val="18"/>
          <w:szCs w:val="18"/>
          <w:highlight w:val="none"/>
        </w:rPr>
        <w:t>理财产品投资所涉及的交易市场遇法定节假日或其他原因暂停营业时。</w:t>
      </w:r>
    </w:p>
    <w:p w14:paraId="7CBA74BA">
      <w:pPr>
        <w:adjustRightInd w:val="0"/>
        <w:snapToGrid w:val="0"/>
        <w:spacing w:line="286" w:lineRule="auto"/>
        <w:rPr>
          <w:b/>
          <w:sz w:val="18"/>
          <w:szCs w:val="18"/>
          <w:highlight w:val="none"/>
        </w:rPr>
      </w:pPr>
      <w:r>
        <w:rPr>
          <w:rFonts w:hint="eastAsia"/>
          <w:sz w:val="18"/>
          <w:szCs w:val="18"/>
          <w:highlight w:val="none"/>
        </w:rPr>
        <w:t>2、因任何不可抗力或其他情形致使理财计划管理人、托管人无法准确评估资产价值时。</w:t>
      </w:r>
    </w:p>
    <w:p w14:paraId="3986935B">
      <w:pPr>
        <w:adjustRightInd w:val="0"/>
        <w:snapToGrid w:val="0"/>
        <w:spacing w:line="286" w:lineRule="auto"/>
        <w:rPr>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14:paraId="2287D80F">
      <w:pPr>
        <w:adjustRightInd w:val="0"/>
        <w:snapToGrid w:val="0"/>
        <w:spacing w:line="286" w:lineRule="auto"/>
        <w:rPr>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14:paraId="770881EE">
      <w:pPr>
        <w:adjustRightInd w:val="0"/>
        <w:snapToGrid w:val="0"/>
        <w:spacing w:line="286" w:lineRule="auto"/>
        <w:rPr>
          <w:b/>
          <w:sz w:val="18"/>
          <w:szCs w:val="18"/>
          <w:highlight w:val="none"/>
        </w:rPr>
      </w:pPr>
      <w:r>
        <w:rPr>
          <w:rFonts w:hint="eastAsia"/>
          <w:sz w:val="18"/>
          <w:szCs w:val="18"/>
          <w:highlight w:val="none"/>
        </w:rPr>
        <w:t>因上述情形暂停估值造成的损失，产品管理人和托管人不承担责任。</w:t>
      </w:r>
    </w:p>
    <w:p w14:paraId="77DFF1B6">
      <w:pPr>
        <w:adjustRightInd w:val="0"/>
        <w:snapToGrid w:val="0"/>
        <w:spacing w:line="286" w:lineRule="auto"/>
        <w:rPr>
          <w:b/>
          <w:sz w:val="18"/>
          <w:szCs w:val="18"/>
          <w:highlight w:val="none"/>
        </w:rPr>
      </w:pPr>
      <w:r>
        <w:rPr>
          <w:rFonts w:hint="eastAsia"/>
          <w:b/>
          <w:sz w:val="18"/>
          <w:szCs w:val="18"/>
          <w:highlight w:val="none"/>
        </w:rPr>
        <w:t>理财收益测算及相关费用</w:t>
      </w:r>
    </w:p>
    <w:p w14:paraId="1CEB91BC">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14:paraId="056C4933">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lang w:val="en-US" w:eastAsia="zh-CN"/>
        </w:rPr>
        <w:t>2.10%</w:t>
      </w:r>
      <w:r>
        <w:rPr>
          <w:rFonts w:hint="eastAsia"/>
          <w:sz w:val="18"/>
          <w:szCs w:val="18"/>
          <w:highlight w:val="none"/>
        </w:rPr>
        <w:t>（年化）。本产品业绩比较基准仅作为计提产品浮动管理费的依据，不构成温州银行对该理财产品的任何收益承诺。</w:t>
      </w:r>
    </w:p>
    <w:p w14:paraId="06D324B0">
      <w:pPr>
        <w:adjustRightInd w:val="0"/>
        <w:snapToGrid w:val="0"/>
        <w:spacing w:line="286" w:lineRule="auto"/>
        <w:rPr>
          <w:sz w:val="18"/>
          <w:szCs w:val="18"/>
          <w:highlight w:val="none"/>
        </w:rPr>
      </w:pPr>
      <w:r>
        <w:rPr>
          <w:rFonts w:hint="eastAsia"/>
          <w:sz w:val="18"/>
          <w:szCs w:val="18"/>
          <w:highlight w:val="none"/>
        </w:rPr>
        <w:t>2、理财产品单位净值</w:t>
      </w:r>
    </w:p>
    <w:p w14:paraId="735A5D39">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14:paraId="17CDD0EC">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14:paraId="7FFA035B">
      <w:pPr>
        <w:adjustRightInd w:val="0"/>
        <w:snapToGrid w:val="0"/>
        <w:spacing w:line="286" w:lineRule="auto"/>
        <w:rPr>
          <w:sz w:val="18"/>
          <w:szCs w:val="18"/>
          <w:highlight w:val="none"/>
        </w:rPr>
      </w:pPr>
      <w:r>
        <w:rPr>
          <w:rFonts w:hint="eastAsia"/>
          <w:sz w:val="18"/>
          <w:szCs w:val="18"/>
          <w:highlight w:val="none"/>
        </w:rPr>
        <w:t>3、认购</w:t>
      </w:r>
    </w:p>
    <w:p w14:paraId="678384DC">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14:paraId="641D8035">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14:paraId="1DC61B84">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14:paraId="4B7C2871">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14:paraId="45DF01FD">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14:paraId="725EBBF9">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14:paraId="2AC6B57E">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szCs w:val="18"/>
        </w:rPr>
        <w:t>2027年2月1日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14:paraId="683405A6">
      <w:pPr>
        <w:adjustRightInd w:val="0"/>
        <w:snapToGrid w:val="0"/>
        <w:spacing w:line="286" w:lineRule="auto"/>
        <w:rPr>
          <w:sz w:val="18"/>
          <w:szCs w:val="18"/>
          <w:highlight w:val="none"/>
        </w:rPr>
      </w:pPr>
      <w:r>
        <w:rPr>
          <w:rFonts w:hint="eastAsia"/>
          <w:sz w:val="18"/>
          <w:szCs w:val="18"/>
          <w:highlight w:val="none"/>
        </w:rPr>
        <w:t>5、相关费用</w:t>
      </w:r>
    </w:p>
    <w:p w14:paraId="74DA59F7">
      <w:pPr>
        <w:adjustRightInd w:val="0"/>
        <w:snapToGrid w:val="0"/>
        <w:spacing w:line="286" w:lineRule="auto"/>
        <w:rPr>
          <w:sz w:val="18"/>
          <w:szCs w:val="18"/>
          <w:highlight w:val="none"/>
        </w:rPr>
      </w:pPr>
      <w:r>
        <w:rPr>
          <w:rFonts w:hint="eastAsia"/>
          <w:sz w:val="18"/>
          <w:szCs w:val="18"/>
          <w:highlight w:val="none"/>
        </w:rPr>
        <w:t>（1）理财管理人的固定管理费</w:t>
      </w:r>
    </w:p>
    <w:p w14:paraId="7D42ACDD">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14:paraId="15002752">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14:paraId="57CAC73A">
      <w:pPr>
        <w:adjustRightInd w:val="0"/>
        <w:snapToGrid w:val="0"/>
        <w:spacing w:line="286" w:lineRule="auto"/>
        <w:rPr>
          <w:sz w:val="18"/>
          <w:szCs w:val="18"/>
          <w:highlight w:val="none"/>
        </w:rPr>
      </w:pPr>
      <w:r>
        <w:rPr>
          <w:rFonts w:hint="eastAsia"/>
          <w:sz w:val="18"/>
          <w:szCs w:val="18"/>
          <w:highlight w:val="none"/>
        </w:rPr>
        <w:t>H＝E×固定管理费率÷365</w:t>
      </w:r>
    </w:p>
    <w:p w14:paraId="06E95F29">
      <w:pPr>
        <w:adjustRightInd w:val="0"/>
        <w:snapToGrid w:val="0"/>
        <w:spacing w:line="286" w:lineRule="auto"/>
        <w:rPr>
          <w:sz w:val="18"/>
          <w:szCs w:val="18"/>
          <w:highlight w:val="none"/>
        </w:rPr>
      </w:pPr>
      <w:r>
        <w:rPr>
          <w:rFonts w:hint="eastAsia"/>
          <w:sz w:val="18"/>
          <w:szCs w:val="18"/>
          <w:highlight w:val="none"/>
        </w:rPr>
        <w:t>H为每日应计提的固定管理费</w:t>
      </w:r>
    </w:p>
    <w:p w14:paraId="57BFCE74">
      <w:pPr>
        <w:adjustRightInd w:val="0"/>
        <w:snapToGrid w:val="0"/>
        <w:spacing w:line="286" w:lineRule="auto"/>
        <w:rPr>
          <w:sz w:val="18"/>
          <w:szCs w:val="18"/>
          <w:highlight w:val="none"/>
        </w:rPr>
      </w:pPr>
      <w:r>
        <w:rPr>
          <w:rFonts w:hint="eastAsia"/>
          <w:sz w:val="18"/>
          <w:szCs w:val="18"/>
          <w:highlight w:val="none"/>
        </w:rPr>
        <w:t>E为本计划前一日资产净值</w:t>
      </w:r>
    </w:p>
    <w:p w14:paraId="2202E4C2">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14:paraId="16077F4C">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14:paraId="34512247">
      <w:pPr>
        <w:adjustRightInd w:val="0"/>
        <w:snapToGrid w:val="0"/>
        <w:spacing w:line="286" w:lineRule="auto"/>
        <w:rPr>
          <w:sz w:val="18"/>
          <w:szCs w:val="18"/>
          <w:highlight w:val="none"/>
        </w:rPr>
      </w:pPr>
      <w:r>
        <w:rPr>
          <w:rFonts w:hint="eastAsia"/>
          <w:sz w:val="18"/>
          <w:szCs w:val="18"/>
          <w:highlight w:val="none"/>
        </w:rPr>
        <w:t>（2）理财托管人的托管费</w:t>
      </w:r>
    </w:p>
    <w:p w14:paraId="10FB58CF">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14:paraId="41A12F6C">
      <w:pPr>
        <w:adjustRightInd w:val="0"/>
        <w:snapToGrid w:val="0"/>
        <w:spacing w:line="286" w:lineRule="auto"/>
        <w:rPr>
          <w:sz w:val="18"/>
          <w:szCs w:val="18"/>
          <w:highlight w:val="none"/>
        </w:rPr>
      </w:pPr>
      <w:r>
        <w:rPr>
          <w:rFonts w:hint="eastAsia"/>
          <w:sz w:val="18"/>
          <w:szCs w:val="18"/>
          <w:highlight w:val="none"/>
        </w:rPr>
        <w:t>H＝E×0.005％÷365</w:t>
      </w:r>
    </w:p>
    <w:p w14:paraId="39C802C8">
      <w:pPr>
        <w:adjustRightInd w:val="0"/>
        <w:snapToGrid w:val="0"/>
        <w:spacing w:line="286" w:lineRule="auto"/>
        <w:rPr>
          <w:sz w:val="18"/>
          <w:szCs w:val="18"/>
          <w:highlight w:val="none"/>
        </w:rPr>
      </w:pPr>
      <w:r>
        <w:rPr>
          <w:rFonts w:hint="eastAsia"/>
          <w:sz w:val="18"/>
          <w:szCs w:val="18"/>
          <w:highlight w:val="none"/>
        </w:rPr>
        <w:t>H为每日应计提的托管费</w:t>
      </w:r>
    </w:p>
    <w:p w14:paraId="68974CDB">
      <w:pPr>
        <w:adjustRightInd w:val="0"/>
        <w:snapToGrid w:val="0"/>
        <w:spacing w:line="286" w:lineRule="auto"/>
        <w:rPr>
          <w:sz w:val="18"/>
          <w:szCs w:val="18"/>
          <w:highlight w:val="none"/>
        </w:rPr>
      </w:pPr>
      <w:r>
        <w:rPr>
          <w:rFonts w:hint="eastAsia"/>
          <w:sz w:val="18"/>
          <w:szCs w:val="18"/>
          <w:highlight w:val="none"/>
        </w:rPr>
        <w:t>E为本计划前一日资产净值</w:t>
      </w:r>
    </w:p>
    <w:p w14:paraId="2493F2AA">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14:paraId="35FAD4DD">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14:paraId="70A92A4C">
      <w:pPr>
        <w:adjustRightInd w:val="0"/>
        <w:snapToGrid w:val="0"/>
        <w:spacing w:line="286" w:lineRule="auto"/>
        <w:rPr>
          <w:sz w:val="18"/>
          <w:szCs w:val="18"/>
          <w:highlight w:val="none"/>
        </w:rPr>
      </w:pPr>
      <w:r>
        <w:rPr>
          <w:rFonts w:hint="eastAsia"/>
          <w:sz w:val="18"/>
          <w:szCs w:val="18"/>
          <w:highlight w:val="none"/>
        </w:rPr>
        <w:t>（3）浮动管理费</w:t>
      </w:r>
    </w:p>
    <w:p w14:paraId="54531394">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14:paraId="3B0539A7">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14:paraId="70957695">
      <w:pPr>
        <w:adjustRightInd w:val="0"/>
        <w:snapToGrid w:val="0"/>
        <w:spacing w:line="286" w:lineRule="auto"/>
        <w:rPr>
          <w:sz w:val="18"/>
          <w:szCs w:val="18"/>
          <w:highlight w:val="none"/>
        </w:rPr>
      </w:pPr>
      <w:r>
        <w:rPr>
          <w:rFonts w:hint="eastAsia"/>
          <w:sz w:val="18"/>
          <w:szCs w:val="18"/>
          <w:highlight w:val="none"/>
        </w:rPr>
        <w:t>6、投资者所得收益</w:t>
      </w:r>
    </w:p>
    <w:p w14:paraId="5FCB306A">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14:paraId="69D0178B">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14:paraId="4F9E0FE7">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14:paraId="5ADC1E73">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14:paraId="2B143668">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6</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w:t>
      </w:r>
      <w:r>
        <w:rPr>
          <w:rFonts w:hint="eastAsia"/>
          <w:sz w:val="18"/>
          <w:szCs w:val="18"/>
          <w:lang w:val="en-US" w:eastAsia="zh-CN"/>
        </w:rPr>
        <w:t>6</w:t>
      </w:r>
      <w:r>
        <w:rPr>
          <w:rFonts w:hint="eastAsia"/>
          <w:sz w:val="18"/>
          <w:szCs w:val="18"/>
        </w:rPr>
        <w:t>=2.</w:t>
      </w:r>
      <w:r>
        <w:rPr>
          <w:rFonts w:hint="eastAsia"/>
          <w:sz w:val="18"/>
          <w:szCs w:val="18"/>
          <w:lang w:val="en-US" w:eastAsia="zh-CN"/>
        </w:rPr>
        <w:t>3</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w:t>
      </w:r>
      <w:r>
        <w:rPr>
          <w:rFonts w:hint="eastAsia"/>
          <w:sz w:val="18"/>
          <w:szCs w:val="18"/>
          <w:lang w:val="en-US" w:eastAsia="zh-CN"/>
        </w:rPr>
        <w:t>6</w:t>
      </w:r>
      <w:r>
        <w:rPr>
          <w:rFonts w:hint="eastAsia"/>
          <w:sz w:val="18"/>
          <w:szCs w:val="18"/>
        </w:rPr>
        <w:t>/365)]×80%=</w:t>
      </w:r>
      <w:r>
        <w:rPr>
          <w:rFonts w:hint="eastAsia"/>
          <w:sz w:val="18"/>
          <w:szCs w:val="18"/>
          <w:lang w:val="en-US" w:eastAsia="zh-CN"/>
        </w:rPr>
        <w:t>500.82</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500.82</w:t>
      </w:r>
      <w:r>
        <w:rPr>
          <w:rFonts w:hint="eastAsia"/>
          <w:sz w:val="18"/>
          <w:szCs w:val="18"/>
        </w:rPr>
        <w:t>=</w:t>
      </w:r>
      <w:r>
        <w:rPr>
          <w:rFonts w:hint="eastAsia"/>
          <w:sz w:val="18"/>
          <w:szCs w:val="18"/>
          <w:lang w:val="en-US" w:eastAsia="zh-CN"/>
        </w:rPr>
        <w:t>6799.18</w:t>
      </w:r>
      <w:r>
        <w:rPr>
          <w:rFonts w:hint="eastAsia"/>
          <w:sz w:val="18"/>
          <w:szCs w:val="18"/>
        </w:rPr>
        <w:t>（元），产品到期时，客户获得的实际收益相当于达到年化收益率水平为：</w:t>
      </w:r>
      <w:r>
        <w:rPr>
          <w:rFonts w:hint="eastAsia"/>
          <w:sz w:val="18"/>
          <w:szCs w:val="18"/>
          <w:lang w:val="en-US" w:eastAsia="zh-CN"/>
        </w:rPr>
        <w:t>6799.18</w:t>
      </w:r>
      <w:r>
        <w:rPr>
          <w:rFonts w:hint="eastAsia"/>
          <w:sz w:val="18"/>
          <w:szCs w:val="18"/>
        </w:rPr>
        <w:t>/1,000,000.00×365/11</w:t>
      </w:r>
      <w:r>
        <w:rPr>
          <w:rFonts w:hint="eastAsia"/>
          <w:sz w:val="18"/>
          <w:szCs w:val="18"/>
          <w:lang w:val="en-US" w:eastAsia="zh-CN"/>
        </w:rPr>
        <w:t>6</w:t>
      </w:r>
      <w:r>
        <w:rPr>
          <w:rFonts w:hint="eastAsia"/>
          <w:sz w:val="18"/>
          <w:szCs w:val="18"/>
        </w:rPr>
        <w:t>=2.</w:t>
      </w:r>
      <w:r>
        <w:rPr>
          <w:rFonts w:hint="eastAsia"/>
          <w:sz w:val="18"/>
          <w:szCs w:val="18"/>
          <w:lang w:val="en-US" w:eastAsia="zh-CN"/>
        </w:rPr>
        <w:t>14</w:t>
      </w:r>
      <w:r>
        <w:rPr>
          <w:rFonts w:hint="eastAsia"/>
          <w:sz w:val="18"/>
          <w:szCs w:val="18"/>
        </w:rPr>
        <w:t>%。</w:t>
      </w:r>
    </w:p>
    <w:p w14:paraId="2847CD10">
      <w:pPr>
        <w:adjustRightInd w:val="0"/>
        <w:snapToGrid w:val="0"/>
        <w:spacing w:line="286" w:lineRule="auto"/>
        <w:rPr>
          <w:rFonts w:hint="eastAsia"/>
          <w:sz w:val="18"/>
          <w:szCs w:val="18"/>
        </w:rPr>
      </w:pPr>
      <w:r>
        <w:rPr>
          <w:rFonts w:hint="eastAsia"/>
          <w:sz w:val="18"/>
          <w:szCs w:val="18"/>
        </w:rPr>
        <w:t>示例二：扣除托管费、销售服务费、固定管理费（如有）及其</w:t>
      </w:r>
      <w:bookmarkStart w:id="0" w:name="_GoBack"/>
      <w:bookmarkEnd w:id="0"/>
      <w:r>
        <w:rPr>
          <w:rFonts w:hint="eastAsia"/>
          <w:sz w:val="18"/>
          <w:szCs w:val="18"/>
        </w:rPr>
        <w:t>他费用（如有）后，投资收益率未达到业绩比较基准。</w:t>
      </w:r>
    </w:p>
    <w:p w14:paraId="3D291BC6">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6</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w:t>
      </w:r>
      <w:r>
        <w:rPr>
          <w:rFonts w:hint="eastAsia"/>
          <w:sz w:val="18"/>
          <w:szCs w:val="18"/>
          <w:lang w:val="en-US" w:eastAsia="zh-CN"/>
        </w:rPr>
        <w:t>6</w:t>
      </w:r>
      <w:r>
        <w:rPr>
          <w:rFonts w:hint="eastAsia"/>
          <w:sz w:val="18"/>
          <w:szCs w:val="18"/>
        </w:rPr>
        <w:t>=</w:t>
      </w:r>
      <w:r>
        <w:rPr>
          <w:rFonts w:hint="eastAsia"/>
          <w:sz w:val="18"/>
          <w:szCs w:val="18"/>
          <w:lang w:val="en-US" w:eastAsia="zh-CN"/>
        </w:rPr>
        <w:t>2.05</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14:paraId="7EBFF39C">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14:paraId="60065FA4">
      <w:pPr>
        <w:adjustRightInd w:val="0"/>
        <w:snapToGrid w:val="0"/>
        <w:spacing w:line="286" w:lineRule="auto"/>
        <w:rPr>
          <w:sz w:val="18"/>
          <w:szCs w:val="18"/>
          <w:highlight w:val="none"/>
        </w:rPr>
      </w:pPr>
      <w:r>
        <w:rPr>
          <w:rFonts w:hint="eastAsia"/>
          <w:sz w:val="18"/>
          <w:szCs w:val="18"/>
        </w:rPr>
        <w:t>以某客户投资100万元为例，购买时产品净值为1.00元，折算份额为1,000,000.00份，理财期限为11</w:t>
      </w:r>
      <w:r>
        <w:rPr>
          <w:rFonts w:hint="eastAsia"/>
          <w:sz w:val="18"/>
          <w:szCs w:val="18"/>
          <w:lang w:val="en-US" w:eastAsia="zh-CN"/>
        </w:rPr>
        <w:t>6</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14:paraId="4D6CE3DC">
      <w:pPr>
        <w:adjustRightInd w:val="0"/>
        <w:snapToGrid w:val="0"/>
        <w:spacing w:line="286" w:lineRule="auto"/>
        <w:rPr>
          <w:sz w:val="18"/>
          <w:szCs w:val="18"/>
          <w:highlight w:val="none"/>
        </w:rPr>
      </w:pPr>
      <w:r>
        <w:rPr>
          <w:rFonts w:hint="eastAsia"/>
          <w:sz w:val="18"/>
          <w:szCs w:val="18"/>
          <w:highlight w:val="none"/>
        </w:rPr>
        <w:t>7、本金及理财收益风险</w:t>
      </w:r>
    </w:p>
    <w:p w14:paraId="39246B0C">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14:paraId="041CC282">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14:paraId="7F736A27">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14:paraId="3C0D2948">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9038F5A">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14:paraId="05F36A9F">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14:paraId="346F0133">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14:paraId="422BD1E4">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14:paraId="757DC52E">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14:paraId="732CE943">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14:paraId="40A63800">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14:paraId="10E1AE5E">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14:paraId="22957C34">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14:paraId="5B241C10">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14:paraId="2466214C">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14:paraId="132B1F5B">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14:paraId="76BD59B9">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14:paraId="07F21F50">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14:paraId="0E373F8A">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14:paraId="4758EA84">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14:paraId="3E2B667E">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14:paraId="4708F3AB">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14:paraId="61E20F21">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14:paraId="3290E681">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14:paraId="7F147E0A">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14:paraId="523FB2A3">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14:paraId="016B08FB">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14:paraId="2E084E53">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14:paraId="5A30FDE9">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14:paraId="65B0F886">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14:paraId="74AA65A5">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14:paraId="0CD193BB">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14:paraId="0D80C462">
      <w:pPr>
        <w:pStyle w:val="19"/>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14:paraId="3EF57DCA">
      <w:pPr>
        <w:pStyle w:val="19"/>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5A874429">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14:paraId="6E8AF72B">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26D09A65">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14:paraId="283D6711">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14:paraId="4071FA6E">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14:paraId="48E020AD">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14:paraId="5200EF37">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14:paraId="4B12959A">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14:paraId="341892C2">
      <w:pPr>
        <w:adjustRightInd w:val="0"/>
        <w:snapToGrid w:val="0"/>
        <w:spacing w:line="286" w:lineRule="auto"/>
        <w:rPr>
          <w:b/>
          <w:sz w:val="18"/>
          <w:szCs w:val="18"/>
          <w:highlight w:val="none"/>
        </w:rPr>
      </w:pPr>
      <w:r>
        <w:rPr>
          <w:rFonts w:hint="eastAsia"/>
          <w:b/>
          <w:sz w:val="18"/>
          <w:szCs w:val="18"/>
          <w:highlight w:val="none"/>
        </w:rPr>
        <w:t>信息公告</w:t>
      </w:r>
    </w:p>
    <w:p w14:paraId="49454EF1">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14:paraId="2859468B">
      <w:pPr>
        <w:adjustRightInd w:val="0"/>
        <w:snapToGrid w:val="0"/>
        <w:spacing w:line="286" w:lineRule="auto"/>
        <w:rPr>
          <w:sz w:val="18"/>
          <w:szCs w:val="18"/>
          <w:highlight w:val="none"/>
        </w:rPr>
      </w:pPr>
      <w:r>
        <w:rPr>
          <w:rFonts w:hint="eastAsia"/>
          <w:sz w:val="18"/>
          <w:szCs w:val="18"/>
          <w:highlight w:val="none"/>
        </w:rPr>
        <w:t>2、定期公告：</w:t>
      </w:r>
    </w:p>
    <w:p w14:paraId="06E15FE4">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14:paraId="68AD1461">
      <w:pPr>
        <w:adjustRightInd w:val="0"/>
        <w:snapToGrid w:val="0"/>
        <w:spacing w:line="286" w:lineRule="auto"/>
        <w:rPr>
          <w:rFonts w:hint="eastAsia" w:eastAsia="宋体"/>
          <w:sz w:val="18"/>
          <w:szCs w:val="18"/>
          <w:highlight w:val="none"/>
          <w:lang w:eastAsia="zh-CN"/>
        </w:rPr>
      </w:pPr>
      <w:r>
        <w:rPr>
          <w:rFonts w:hint="eastAsia"/>
          <w:sz w:val="18"/>
          <w:szCs w:val="18"/>
          <w:highlight w:val="none"/>
        </w:rPr>
        <w:t>3、临时性公告</w:t>
      </w:r>
      <w:r>
        <w:rPr>
          <w:rFonts w:hint="eastAsia"/>
          <w:sz w:val="18"/>
          <w:szCs w:val="18"/>
          <w:highlight w:val="none"/>
          <w:lang w:eastAsia="zh-CN"/>
        </w:rPr>
        <w:t>：</w:t>
      </w:r>
    </w:p>
    <w:p w14:paraId="02AB1CBD">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6C3C78C7">
      <w:pPr>
        <w:adjustRightInd w:val="0"/>
        <w:snapToGrid w:val="0"/>
        <w:spacing w:line="286" w:lineRule="auto"/>
        <w:rPr>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14:paraId="3A9FEC01">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14:paraId="1AD0793B">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14:paraId="586ECA2A">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14:paraId="7CB8C7ED">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14:paraId="02A0A3B4">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1EA9DBF3">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14:paraId="23B1A017">
      <w:pPr>
        <w:adjustRightInd w:val="0"/>
        <w:snapToGrid w:val="0"/>
        <w:spacing w:line="286" w:lineRule="auto"/>
        <w:rPr>
          <w:b/>
          <w:bCs/>
          <w:sz w:val="18"/>
          <w:szCs w:val="18"/>
          <w:highlight w:val="none"/>
        </w:rPr>
      </w:pPr>
      <w:r>
        <w:rPr>
          <w:rFonts w:hint="eastAsia"/>
          <w:b/>
          <w:bCs/>
          <w:sz w:val="18"/>
          <w:szCs w:val="18"/>
          <w:highlight w:val="none"/>
        </w:rPr>
        <w:t>投资者信息管理</w:t>
      </w:r>
    </w:p>
    <w:p w14:paraId="1587D5C0">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14:paraId="48C75C14">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14:paraId="26941B7C">
      <w:pPr>
        <w:numPr>
          <w:ilvl w:val="0"/>
          <w:numId w:val="2"/>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14:paraId="3E2004C9">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14:paraId="6FD479D6">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14:paraId="0EA07389">
      <w:pPr>
        <w:numPr>
          <w:ilvl w:val="0"/>
          <w:numId w:val="2"/>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14:paraId="5C27AC4A">
      <w:pPr>
        <w:adjustRightInd w:val="0"/>
        <w:snapToGrid w:val="0"/>
        <w:spacing w:line="286" w:lineRule="auto"/>
        <w:rPr>
          <w:b/>
          <w:sz w:val="18"/>
          <w:szCs w:val="18"/>
          <w:highlight w:val="none"/>
        </w:rPr>
      </w:pPr>
      <w:r>
        <w:rPr>
          <w:rFonts w:hint="eastAsia"/>
          <w:b/>
          <w:sz w:val="18"/>
          <w:szCs w:val="18"/>
          <w:highlight w:val="none"/>
        </w:rPr>
        <w:t>产品认购</w:t>
      </w:r>
    </w:p>
    <w:p w14:paraId="61674222">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14:paraId="7E0051BB">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14:paraId="2EDEA7AC">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14:paraId="6044A38B">
      <w:pPr>
        <w:adjustRightInd w:val="0"/>
        <w:snapToGrid w:val="0"/>
        <w:spacing w:line="286" w:lineRule="auto"/>
        <w:rPr>
          <w:sz w:val="18"/>
          <w:szCs w:val="18"/>
          <w:highlight w:val="none"/>
        </w:rPr>
      </w:pPr>
      <w:r>
        <w:rPr>
          <w:rFonts w:hint="eastAsia"/>
          <w:b/>
          <w:sz w:val="18"/>
          <w:szCs w:val="18"/>
          <w:highlight w:val="none"/>
        </w:rPr>
        <w:t>法律适用与争议解决</w:t>
      </w:r>
    </w:p>
    <w:p w14:paraId="125A1C6E">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14:paraId="3B2A54B1">
      <w:pPr>
        <w:adjustRightInd w:val="0"/>
        <w:snapToGrid w:val="0"/>
        <w:spacing w:line="286" w:lineRule="auto"/>
        <w:rPr>
          <w:sz w:val="18"/>
          <w:szCs w:val="18"/>
          <w:highlight w:val="none"/>
        </w:rPr>
      </w:pPr>
      <w:r>
        <w:rPr>
          <w:rFonts w:hint="eastAsia"/>
          <w:sz w:val="18"/>
          <w:szCs w:val="18"/>
          <w:highlight w:val="none"/>
        </w:rPr>
        <w:t>2、争议解决</w:t>
      </w:r>
    </w:p>
    <w:p w14:paraId="48AB5EB2">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14:paraId="06313650">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14:paraId="4C800B97">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26024</w:t>
      </w:r>
      <w:r>
        <w:rPr>
          <w:rFonts w:hint="eastAsia"/>
          <w:sz w:val="18"/>
          <w:szCs w:val="18"/>
          <w:highlight w:val="none"/>
        </w:rPr>
        <w:t>号（共同富裕特别款）银行理财计划风险揭示书》、《温州银行理财计划合约》和《温州银行理财产品投资者权益须知》等销售文件中的内容与本产品说明书不一致的，以本产品说明书约定的内容为准。</w:t>
      </w:r>
    </w:p>
    <w:p w14:paraId="5F7E70B5">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14:paraId="1DA4672E">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82A72">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14:paraId="47B97A99">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5201AD"/>
    <w:rsid w:val="018C5462"/>
    <w:rsid w:val="019F3149"/>
    <w:rsid w:val="01B25DFE"/>
    <w:rsid w:val="020D5912"/>
    <w:rsid w:val="02B70580"/>
    <w:rsid w:val="03C64591"/>
    <w:rsid w:val="03E90339"/>
    <w:rsid w:val="05256D34"/>
    <w:rsid w:val="06EB04E9"/>
    <w:rsid w:val="06ED4D4B"/>
    <w:rsid w:val="06EE3C70"/>
    <w:rsid w:val="06F87141"/>
    <w:rsid w:val="07BB40C7"/>
    <w:rsid w:val="07CB16FD"/>
    <w:rsid w:val="0843731D"/>
    <w:rsid w:val="08EF38EC"/>
    <w:rsid w:val="09284DBF"/>
    <w:rsid w:val="09446D7E"/>
    <w:rsid w:val="0A1675AA"/>
    <w:rsid w:val="0A351F15"/>
    <w:rsid w:val="0AC90772"/>
    <w:rsid w:val="0BD45EF5"/>
    <w:rsid w:val="0DCB3427"/>
    <w:rsid w:val="0E5C65DD"/>
    <w:rsid w:val="0EAE5E5E"/>
    <w:rsid w:val="0F4B6711"/>
    <w:rsid w:val="104F44D5"/>
    <w:rsid w:val="109B1F8D"/>
    <w:rsid w:val="10B17669"/>
    <w:rsid w:val="11AA638B"/>
    <w:rsid w:val="12EE51BD"/>
    <w:rsid w:val="13E33D0E"/>
    <w:rsid w:val="14237D99"/>
    <w:rsid w:val="14717A98"/>
    <w:rsid w:val="14C54C98"/>
    <w:rsid w:val="15C44EC6"/>
    <w:rsid w:val="161D1528"/>
    <w:rsid w:val="179944CD"/>
    <w:rsid w:val="17BF4271"/>
    <w:rsid w:val="18826A9B"/>
    <w:rsid w:val="19E25A8D"/>
    <w:rsid w:val="19EC4338"/>
    <w:rsid w:val="1A5F6148"/>
    <w:rsid w:val="1CEE6A7A"/>
    <w:rsid w:val="1DBC7AEC"/>
    <w:rsid w:val="1EBD7528"/>
    <w:rsid w:val="1F0F4A66"/>
    <w:rsid w:val="20DB6550"/>
    <w:rsid w:val="21CD0C84"/>
    <w:rsid w:val="21E022E1"/>
    <w:rsid w:val="21E136F4"/>
    <w:rsid w:val="22156E7A"/>
    <w:rsid w:val="22A04815"/>
    <w:rsid w:val="22B162E6"/>
    <w:rsid w:val="23535C37"/>
    <w:rsid w:val="243F45B9"/>
    <w:rsid w:val="26531D8B"/>
    <w:rsid w:val="275A751E"/>
    <w:rsid w:val="27BD2B01"/>
    <w:rsid w:val="28076A45"/>
    <w:rsid w:val="29084DDE"/>
    <w:rsid w:val="2ACF0E36"/>
    <w:rsid w:val="2B916284"/>
    <w:rsid w:val="2C6539C6"/>
    <w:rsid w:val="2CF16BCB"/>
    <w:rsid w:val="2D1D2B95"/>
    <w:rsid w:val="2D297E19"/>
    <w:rsid w:val="2D682478"/>
    <w:rsid w:val="2DCB3047"/>
    <w:rsid w:val="2ECA3572"/>
    <w:rsid w:val="2F7E1AF7"/>
    <w:rsid w:val="2F862BC5"/>
    <w:rsid w:val="30271A47"/>
    <w:rsid w:val="305C00F9"/>
    <w:rsid w:val="30DC7477"/>
    <w:rsid w:val="313A7139"/>
    <w:rsid w:val="31AC46DA"/>
    <w:rsid w:val="32683389"/>
    <w:rsid w:val="3318043A"/>
    <w:rsid w:val="33CF505C"/>
    <w:rsid w:val="33F1533A"/>
    <w:rsid w:val="34F321CC"/>
    <w:rsid w:val="36C936FE"/>
    <w:rsid w:val="378C078C"/>
    <w:rsid w:val="38DD1A62"/>
    <w:rsid w:val="38FC2B02"/>
    <w:rsid w:val="39766FF2"/>
    <w:rsid w:val="3A3C4BCB"/>
    <w:rsid w:val="3A3E0B79"/>
    <w:rsid w:val="3A9532FB"/>
    <w:rsid w:val="3B57FF03"/>
    <w:rsid w:val="3B6251B3"/>
    <w:rsid w:val="3BB23156"/>
    <w:rsid w:val="3BBF210A"/>
    <w:rsid w:val="3BFBD5F2"/>
    <w:rsid w:val="3C130397"/>
    <w:rsid w:val="3C5B2CDB"/>
    <w:rsid w:val="3C72230B"/>
    <w:rsid w:val="3CC71547"/>
    <w:rsid w:val="3D150741"/>
    <w:rsid w:val="3DCA67EC"/>
    <w:rsid w:val="3E2566A4"/>
    <w:rsid w:val="3F7E5351"/>
    <w:rsid w:val="40A40662"/>
    <w:rsid w:val="4146226E"/>
    <w:rsid w:val="418D0632"/>
    <w:rsid w:val="43395CAF"/>
    <w:rsid w:val="434002F8"/>
    <w:rsid w:val="43712A5A"/>
    <w:rsid w:val="4409550D"/>
    <w:rsid w:val="45A13E49"/>
    <w:rsid w:val="462B298E"/>
    <w:rsid w:val="4769700F"/>
    <w:rsid w:val="47B76967"/>
    <w:rsid w:val="485937D1"/>
    <w:rsid w:val="48805D23"/>
    <w:rsid w:val="48C749F6"/>
    <w:rsid w:val="492734EF"/>
    <w:rsid w:val="4AB2210B"/>
    <w:rsid w:val="4D1F0E18"/>
    <w:rsid w:val="4DA54130"/>
    <w:rsid w:val="4DB85AC7"/>
    <w:rsid w:val="4E424101"/>
    <w:rsid w:val="4E9D337C"/>
    <w:rsid w:val="4EFE40C2"/>
    <w:rsid w:val="4F213D5A"/>
    <w:rsid w:val="51F53730"/>
    <w:rsid w:val="54133033"/>
    <w:rsid w:val="546F0E0A"/>
    <w:rsid w:val="565065EF"/>
    <w:rsid w:val="56865A7D"/>
    <w:rsid w:val="56AB5155"/>
    <w:rsid w:val="56D52575"/>
    <w:rsid w:val="57313966"/>
    <w:rsid w:val="58121B96"/>
    <w:rsid w:val="583E376D"/>
    <w:rsid w:val="58E34C34"/>
    <w:rsid w:val="58FC2AD1"/>
    <w:rsid w:val="59532BE6"/>
    <w:rsid w:val="5A6C6059"/>
    <w:rsid w:val="5D0B2C53"/>
    <w:rsid w:val="5DD76B10"/>
    <w:rsid w:val="5E014390"/>
    <w:rsid w:val="5E142BAD"/>
    <w:rsid w:val="5E3633EC"/>
    <w:rsid w:val="5E633CE1"/>
    <w:rsid w:val="5F4A6202"/>
    <w:rsid w:val="616E34C6"/>
    <w:rsid w:val="61E21802"/>
    <w:rsid w:val="623D1E92"/>
    <w:rsid w:val="62715C60"/>
    <w:rsid w:val="627B657A"/>
    <w:rsid w:val="63E61C76"/>
    <w:rsid w:val="64337DCC"/>
    <w:rsid w:val="64A6112D"/>
    <w:rsid w:val="64C0477E"/>
    <w:rsid w:val="661104BF"/>
    <w:rsid w:val="664D6AA2"/>
    <w:rsid w:val="67FF3C33"/>
    <w:rsid w:val="683D7E3B"/>
    <w:rsid w:val="699C4EA7"/>
    <w:rsid w:val="6B9D5BC9"/>
    <w:rsid w:val="6D15771F"/>
    <w:rsid w:val="6D604A7B"/>
    <w:rsid w:val="6E7F3A9C"/>
    <w:rsid w:val="6F6944D6"/>
    <w:rsid w:val="6F6D3125"/>
    <w:rsid w:val="6FA81A3C"/>
    <w:rsid w:val="71360DE5"/>
    <w:rsid w:val="718A5772"/>
    <w:rsid w:val="76592994"/>
    <w:rsid w:val="7678652D"/>
    <w:rsid w:val="79632EC7"/>
    <w:rsid w:val="7ABB3FE8"/>
    <w:rsid w:val="7AFF2EFC"/>
    <w:rsid w:val="7BBA77ED"/>
    <w:rsid w:val="7C2D424A"/>
    <w:rsid w:val="7CE65BF7"/>
    <w:rsid w:val="7DDE7FE3"/>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unhideWhenUsed/>
    <w:qFormat/>
    <w:uiPriority w:val="99"/>
    <w:pPr>
      <w:jc w:val="left"/>
    </w:pPr>
  </w:style>
  <w:style w:type="paragraph" w:styleId="3">
    <w:name w:val="Plain Text"/>
    <w:basedOn w:val="1"/>
    <w:link w:val="14"/>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kern w:val="0"/>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character" w:customStyle="1" w:styleId="13">
    <w:name w:val="批注文字 字符"/>
    <w:link w:val="2"/>
    <w:qFormat/>
    <w:uiPriority w:val="99"/>
    <w:rPr>
      <w:rFonts w:ascii="Times New Roman" w:hAnsi="Times New Roman"/>
      <w:kern w:val="2"/>
      <w:sz w:val="21"/>
    </w:rPr>
  </w:style>
  <w:style w:type="character" w:customStyle="1" w:styleId="14">
    <w:name w:val="纯文本 字符"/>
    <w:link w:val="3"/>
    <w:qFormat/>
    <w:uiPriority w:val="99"/>
    <w:rPr>
      <w:rFonts w:ascii="宋体" w:hAnsi="Courier New" w:eastAsia="宋体" w:cs="Courier New"/>
      <w:szCs w:val="21"/>
    </w:rPr>
  </w:style>
  <w:style w:type="character" w:customStyle="1" w:styleId="15">
    <w:name w:val="批注框文本 字符"/>
    <w:link w:val="4"/>
    <w:semiHidden/>
    <w:qFormat/>
    <w:uiPriority w:val="99"/>
    <w:rPr>
      <w:kern w:val="2"/>
      <w:sz w:val="18"/>
      <w:szCs w:val="18"/>
    </w:rPr>
  </w:style>
  <w:style w:type="character" w:customStyle="1" w:styleId="16">
    <w:name w:val="页脚 字符"/>
    <w:link w:val="5"/>
    <w:qFormat/>
    <w:uiPriority w:val="99"/>
    <w:rPr>
      <w:rFonts w:ascii="Calibri" w:hAnsi="Calibri" w:eastAsia="宋体" w:cs="Times New Roman"/>
      <w:kern w:val="0"/>
      <w:sz w:val="18"/>
      <w:szCs w:val="18"/>
    </w:rPr>
  </w:style>
  <w:style w:type="character" w:customStyle="1" w:styleId="17">
    <w:name w:val="页眉 字符"/>
    <w:link w:val="6"/>
    <w:qFormat/>
    <w:uiPriority w:val="99"/>
    <w:rPr>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paragraph" w:styleId="19">
    <w:name w:val="List Paragraph"/>
    <w:basedOn w:val="1"/>
    <w:qFormat/>
    <w:uiPriority w:val="34"/>
    <w:pPr>
      <w:widowControl/>
      <w:ind w:firstLine="420"/>
    </w:pPr>
    <w:rPr>
      <w:rFonts w:cs="宋体"/>
      <w:kern w:val="0"/>
      <w:szCs w:val="21"/>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_Style 19"/>
    <w:unhideWhenUsed/>
    <w:qFormat/>
    <w:uiPriority w:val="99"/>
    <w:rPr>
      <w:rFonts w:ascii="Times New Roman" w:hAnsi="Times New Roman" w:eastAsia="宋体" w:cs="Times New Roman"/>
      <w:kern w:val="2"/>
      <w:sz w:val="21"/>
      <w:lang w:val="en-US" w:eastAsia="zh-CN" w:bidi="ar-SA"/>
    </w:rPr>
  </w:style>
  <w:style w:type="character" w:customStyle="1" w:styleId="22">
    <w:name w:val="15"/>
    <w:basedOn w:val="11"/>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1060</Words>
  <Characters>1080</Characters>
  <Lines>100</Lines>
  <Paragraphs>28</Paragraphs>
  <TotalTime>0</TotalTime>
  <ScaleCrop>false</ScaleCrop>
  <LinksUpToDate>false</LinksUpToDate>
  <CharactersWithSpaces>1272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大杰子啦</cp:lastModifiedBy>
  <dcterms:modified xsi:type="dcterms:W3CDTF">2026-09-24T03:25:13Z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