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highlight w:val="none"/>
        </w:rPr>
      </w:pPr>
      <w:r>
        <w:rPr>
          <w:rFonts w:hint="eastAsia" w:ascii="黑体" w:eastAsia="黑体"/>
          <w:sz w:val="30"/>
          <w:szCs w:val="30"/>
          <w:highlight w:val="none"/>
        </w:rPr>
        <w:t>温州银行“金鹿理财-温盈”</w:t>
      </w:r>
      <w:r>
        <w:rPr>
          <w:rFonts w:hint="eastAsia" w:ascii="黑体" w:eastAsia="黑体"/>
          <w:color w:val="000000"/>
          <w:sz w:val="30"/>
          <w:szCs w:val="30"/>
          <w:highlight w:val="none"/>
          <w:u w:val="single"/>
        </w:rPr>
        <w:t>20034</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0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0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，请在认购（申购）该理财产品前特别注意以下事项：</w:t>
      </w:r>
    </w:p>
    <w:p>
      <w:pPr>
        <w:adjustRightInd w:val="0"/>
        <w:snapToGrid w:val="0"/>
        <w:spacing w:line="30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温盈”</w:t>
      </w:r>
      <w:r>
        <w:rPr>
          <w:rFonts w:hint="eastAsia"/>
          <w:color w:val="000000"/>
          <w:szCs w:val="21"/>
          <w:highlight w:val="none"/>
          <w:u w:val="single"/>
        </w:rPr>
        <w:t>20034</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highlight w:val="none"/>
        </w:rPr>
        <w:t>“金鹿理财-温盈”20034号开放式净值</w:t>
      </w:r>
      <w:r>
        <w:rPr>
          <w:rFonts w:hint="eastAsia"/>
          <w:szCs w:val="21"/>
          <w:highlight w:val="none"/>
        </w:rPr>
        <w:t>型（第i期）银行理财计划开放认购（申购）申请书》约定为准。</w:t>
      </w:r>
      <w:r>
        <w:rPr>
          <w:rFonts w:hint="eastAsia"/>
          <w:b/>
          <w:szCs w:val="21"/>
          <w:highlight w:val="none"/>
        </w:rPr>
        <w:t>根据温</w:t>
      </w:r>
      <w:r>
        <w:rPr>
          <w:rFonts w:hint="eastAsia" w:ascii="宋体" w:hAnsi="宋体"/>
          <w:b/>
          <w:szCs w:val="21"/>
          <w:highlight w:val="none"/>
        </w:rPr>
        <w:t>州银行内部风险评级标准，该产品的风险等级为</w:t>
      </w:r>
      <w:r>
        <w:rPr>
          <w:rFonts w:ascii="宋体" w:hAnsi="宋体"/>
          <w:b/>
          <w:szCs w:val="21"/>
          <w:highlight w:val="none"/>
          <w:u w:val="single"/>
        </w:rPr>
        <w:t>PR2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highlight w:val="none"/>
        </w:rPr>
      </w:pPr>
      <w:r>
        <w:rPr>
          <w:rFonts w:hint="eastAsia" w:ascii="宋体" w:hAnsi="宋体"/>
          <w:color w:val="000000"/>
          <w:szCs w:val="21"/>
          <w:highlight w:val="none"/>
        </w:rPr>
        <w:t>三、本风险揭示书及《温州银行“金鹿理财-温盈”20034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金鹿理财-温盈”20034号开放式净值型银行理财计划产品说明书》、《温州银行“金鹿理财-温盈”20034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0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0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0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0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0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0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00" w:lineRule="auto"/>
        <w:jc w:val="center"/>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snapToGrid/>
        <w:spacing w:line="240" w:lineRule="auto"/>
        <w:jc w:val="left"/>
        <w:rPr>
          <w:rFonts w:hint="eastAsia" w:ascii="黑体" w:eastAsia="黑体"/>
          <w:sz w:val="30"/>
          <w:szCs w:val="30"/>
          <w:highlight w:val="none"/>
        </w:rPr>
      </w:pPr>
      <w:r>
        <w:rPr>
          <w:rFonts w:hint="eastAsia" w:ascii="黑体" w:eastAsia="黑体"/>
          <w:sz w:val="30"/>
          <w:szCs w:val="30"/>
          <w:highlight w:val="none"/>
        </w:rPr>
        <w:br w:type="page"/>
      </w:r>
    </w:p>
    <w:p>
      <w:pPr>
        <w:adjustRightInd w:val="0"/>
        <w:snapToGrid w:val="0"/>
        <w:spacing w:line="322" w:lineRule="auto"/>
        <w:jc w:val="center"/>
        <w:rPr>
          <w:rFonts w:ascii="黑体" w:eastAsia="黑体"/>
          <w:sz w:val="30"/>
          <w:szCs w:val="30"/>
          <w:highlight w:val="none"/>
        </w:rPr>
      </w:pPr>
      <w:r>
        <w:rPr>
          <w:rFonts w:hint="eastAsia" w:ascii="黑体" w:eastAsia="黑体"/>
          <w:sz w:val="30"/>
          <w:szCs w:val="30"/>
          <w:highlight w:val="none"/>
        </w:rPr>
        <w:t>温州银行“金鹿理财-温盈”</w:t>
      </w:r>
      <w:r>
        <w:rPr>
          <w:rFonts w:hint="eastAsia" w:ascii="黑体" w:eastAsia="黑体"/>
          <w:color w:val="000000"/>
          <w:sz w:val="30"/>
          <w:szCs w:val="30"/>
          <w:highlight w:val="none"/>
          <w:u w:val="single"/>
        </w:rPr>
        <w:t>20034</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color w:val="000000"/>
          <w:sz w:val="18"/>
          <w:szCs w:val="18"/>
          <w:highlight w:val="none"/>
        </w:rPr>
        <w:t>温盈”20034号开放式净值型银行理财计划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highlight w:val="none"/>
          <w:lang w:eastAsia="zh-CN"/>
        </w:rPr>
        <w:t>。</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“金鹿理财-温盈”</w:t>
            </w:r>
            <w:r>
              <w:rPr>
                <w:rFonts w:hint="eastAsia"/>
                <w:color w:val="000000"/>
                <w:sz w:val="18"/>
                <w:szCs w:val="18"/>
                <w:highlight w:val="none"/>
                <w:u w:val="single"/>
              </w:rPr>
              <w:t>20034</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color w:val="000000"/>
                <w:sz w:val="18"/>
                <w:szCs w:val="18"/>
                <w:highlight w:val="none"/>
              </w:rPr>
              <w:t>YJ2034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highlight w:val="none"/>
              </w:rPr>
            </w:pPr>
            <w:r>
              <w:rPr>
                <w:rFonts w:hint="eastAsia" w:hAnsi="Calibri"/>
                <w:color w:val="000000"/>
                <w:sz w:val="18"/>
                <w:szCs w:val="18"/>
                <w:highlight w:val="none"/>
              </w:rPr>
              <w:t>C1092220000085</w:t>
            </w:r>
          </w:p>
          <w:p>
            <w:pPr>
              <w:pStyle w:val="14"/>
              <w:adjustRightInd w:val="0"/>
              <w:snapToGrid w:val="0"/>
              <w:spacing w:before="0" w:beforeAutospacing="0" w:after="0" w:afterAutospacing="0" w:line="288" w:lineRule="auto"/>
              <w:jc w:val="center"/>
              <w:rPr>
                <w:rFonts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u w:val="single"/>
              </w:rPr>
            </w:pPr>
            <w:r>
              <w:rPr>
                <w:rFonts w:hint="eastAsia"/>
                <w:color w:val="000000"/>
                <w:sz w:val="18"/>
                <w:szCs w:val="18"/>
                <w:u w:val="single"/>
                <w:lang w:val="en-US" w:eastAsia="zh-CN"/>
              </w:rPr>
              <w:t>2020年4月1日</w:t>
            </w:r>
            <w:r>
              <w:rPr>
                <w:rFonts w:hint="eastAsia"/>
                <w:sz w:val="18"/>
                <w:szCs w:val="18"/>
                <w:u w:val="single"/>
              </w:rPr>
              <w:t>至</w:t>
            </w:r>
            <w:r>
              <w:rPr>
                <w:rFonts w:hint="eastAsia"/>
                <w:color w:val="000000"/>
                <w:sz w:val="18"/>
                <w:szCs w:val="18"/>
                <w:u w:val="single"/>
                <w:lang w:val="en-US" w:eastAsia="zh-CN"/>
              </w:rPr>
              <w:t>2020年4月7日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color w:val="000000"/>
                <w:sz w:val="18"/>
                <w:szCs w:val="18"/>
                <w:highlight w:val="none"/>
              </w:rPr>
              <w:t>首个投资运作周期的业绩比较基准为4.25%（年化）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温州银行官方网站或电子银行等信息平台进行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w:t>
            </w:r>
            <w:r>
              <w:rPr>
                <w:rFonts w:hint="eastAsia" w:cs="Times New Roman"/>
                <w:b/>
                <w:bCs/>
                <w:sz w:val="18"/>
                <w:szCs w:val="18"/>
                <w:highlight w:val="none"/>
              </w:rPr>
              <w:t>业绩比较基准/过往业绩不是预期收益率，不代表产品的未来表现和实际收益，不构成对产品收益的承诺。</w:t>
            </w:r>
            <w:r>
              <w:rPr>
                <w:rFonts w:hint="eastAsia" w:cs="Times New Roman"/>
                <w:sz w:val="18"/>
                <w:szCs w:val="18"/>
                <w:highlight w:val="none"/>
              </w:rPr>
              <w:t>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olor w:val="000000"/>
                <w:sz w:val="18"/>
                <w:szCs w:val="18"/>
                <w:highlight w:val="none"/>
              </w:rPr>
              <w:t>本理财计划成立日为2020年4月8日。温州银行有权根据实际募集情况选择产品提前成立，若温州银行采取以上措施，温州银行将就产品相应要素的调整事宜于提前成立日前的一个工作日在温州银行网站予以公告。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10</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理财分红</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color w:val="000000"/>
                <w:sz w:val="18"/>
                <w:highlight w:val="none"/>
              </w:rPr>
              <w:t>184</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184</w:t>
            </w:r>
            <w:r>
              <w:rPr>
                <w:rFonts w:ascii="宋体" w:hAnsi="宋体"/>
                <w:sz w:val="18"/>
                <w:highlight w:val="none"/>
              </w:rPr>
              <w:t>】天。投资周期终止日如遇非</w:t>
            </w:r>
            <w:r>
              <w:rPr>
                <w:rFonts w:hint="eastAsia" w:ascii="宋体" w:hAnsi="宋体"/>
                <w:sz w:val="18"/>
                <w:highlight w:val="none"/>
                <w:lang w:val="en-US" w:eastAsia="zh-CN"/>
              </w:rPr>
              <w:t>交易</w:t>
            </w:r>
            <w:r>
              <w:rPr>
                <w:rFonts w:ascii="宋体" w:hAnsi="宋体"/>
                <w:sz w:val="18"/>
                <w:highlight w:val="none"/>
              </w:rPr>
              <w:t>日则</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将</w:t>
            </w:r>
            <w:r>
              <w:rPr>
                <w:rFonts w:ascii="宋体" w:hAnsi="宋体"/>
                <w:sz w:val="18"/>
                <w:highlight w:val="none"/>
              </w:rPr>
              <w:t>做相应调整</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color w:val="000000"/>
                <w:sz w:val="18"/>
                <w:szCs w:val="18"/>
                <w:highlight w:val="none"/>
              </w:rPr>
              <w:t>《温州银行“金鹿理财-温盈”20034号开放式净值型（第i期）银行理财计划开放认购（申购）申请书》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24"/>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sz w:val="18"/>
                <w:szCs w:val="18"/>
                <w:highlight w:val="none"/>
              </w:rPr>
            </w:pPr>
            <w:r>
              <w:rPr>
                <w:rFonts w:hint="eastAsia" w:ascii="宋体" w:hAnsi="宋体"/>
                <w:sz w:val="18"/>
                <w:highlight w:val="none"/>
              </w:rPr>
              <w:t>4</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在本理财产品扣除产品固定管理费及托管费等各项费用后</w:t>
            </w:r>
            <w:r>
              <w:rPr>
                <w:rFonts w:hint="eastAsia" w:cs="Times New Roman"/>
                <w:sz w:val="18"/>
                <w:szCs w:val="18"/>
                <w:highlight w:val="none"/>
                <w:lang w:eastAsia="zh-CN"/>
              </w:rPr>
              <w:t>，</w:t>
            </w:r>
            <w:r>
              <w:rPr>
                <w:rFonts w:hint="eastAsia" w:cs="Times New Roman"/>
                <w:sz w:val="18"/>
                <w:szCs w:val="18"/>
                <w:highlight w:val="none"/>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rFonts w:hint="eastAsia" w:eastAsia="宋体"/>
                <w:sz w:val="18"/>
                <w:szCs w:val="18"/>
                <w:highlight w:val="none"/>
                <w:lang w:eastAsia="zh-CN"/>
              </w:rPr>
            </w:pPr>
            <w:r>
              <w:rPr>
                <w:rFonts w:hint="eastAsia"/>
                <w:sz w:val="18"/>
                <w:szCs w:val="18"/>
                <w:highlight w:val="none"/>
              </w:rPr>
              <w:t>具有证券投资基金托管业务资格的商业银行</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w:t>
            </w:r>
            <w:r>
              <w:rPr>
                <w:rFonts w:hint="eastAsia" w:cs="Times New Roman"/>
                <w:b/>
                <w:sz w:val="18"/>
                <w:szCs w:val="18"/>
                <w:highlight w:val="none"/>
                <w:lang w:val="en-US" w:eastAsia="zh-CN"/>
              </w:rPr>
              <w:t>温州</w:t>
            </w:r>
            <w:r>
              <w:rPr>
                <w:rFonts w:hint="eastAsia" w:cs="Times New Roman"/>
                <w:b/>
                <w:sz w:val="18"/>
                <w:szCs w:val="18"/>
                <w:highlight w:val="none"/>
              </w:rPr>
              <w:t>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b/>
                <w:sz w:val="18"/>
                <w:szCs w:val="18"/>
                <w:highlight w:val="none"/>
              </w:rPr>
            </w:pPr>
            <w:r>
              <w:rPr>
                <w:rFonts w:hint="eastAsia" w:cs="Times New Roman"/>
                <w:b w:val="0"/>
                <w:bCs/>
                <w:sz w:val="18"/>
                <w:szCs w:val="18"/>
                <w:highlight w:val="none"/>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hint="eastAsia" w:cs="Times New Roman"/>
                <w:b/>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理财本金在理财计划成立日/投资周期起始日前交存于温州银行的，按当时实行的活期利率计息。赎回清算日到理财资金返还到账日为</w:t>
            </w:r>
            <w:r>
              <w:rPr>
                <w:rFonts w:hint="eastAsia" w:cs="Times New Roman"/>
                <w:sz w:val="18"/>
                <w:szCs w:val="18"/>
                <w:highlight w:val="none"/>
                <w:lang w:val="en-US" w:eastAsia="zh-CN"/>
              </w:rPr>
              <w:t>资金</w:t>
            </w:r>
            <w:r>
              <w:rPr>
                <w:rFonts w:hint="eastAsia" w:cs="Times New Roman"/>
                <w:sz w:val="18"/>
                <w:szCs w:val="18"/>
                <w:highlight w:val="none"/>
              </w:rPr>
              <w:t>清算期，</w:t>
            </w:r>
            <w:r>
              <w:rPr>
                <w:rFonts w:hint="eastAsia" w:cs="Times New Roman"/>
                <w:sz w:val="18"/>
                <w:szCs w:val="18"/>
                <w:highlight w:val="none"/>
                <w:lang w:val="en-US" w:eastAsia="zh-CN"/>
              </w:rPr>
              <w:t>资金</w:t>
            </w:r>
            <w:r>
              <w:rPr>
                <w:rFonts w:hint="eastAsia" w:cs="Times New Roman"/>
                <w:sz w:val="18"/>
                <w:szCs w:val="18"/>
                <w:highlight w:val="none"/>
              </w:rPr>
              <w:t>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8"/>
        <w:tblW w:w="4999" w:type="pct"/>
        <w:jc w:val="center"/>
        <w:tblLayout w:type="autofit"/>
        <w:tblCellMar>
          <w:top w:w="0" w:type="dxa"/>
          <w:left w:w="108" w:type="dxa"/>
          <w:bottom w:w="0" w:type="dxa"/>
          <w:right w:w="108" w:type="dxa"/>
        </w:tblCellMar>
      </w:tblPr>
      <w:tblGrid>
        <w:gridCol w:w="5112"/>
        <w:gridCol w:w="4286"/>
      </w:tblGrid>
      <w:tr>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本理财产品的杠杆水平不超过140%。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highlight w:val="none"/>
        </w:rPr>
      </w:pPr>
      <w:r>
        <w:rPr>
          <w:rFonts w:hint="eastAsia"/>
          <w:bCs/>
          <w:sz w:val="18"/>
          <w:szCs w:val="18"/>
          <w:highlight w:val="none"/>
        </w:rPr>
        <w:t>主要拟投资市场、资产的流动性风险评估</w:t>
      </w:r>
    </w:p>
    <w:p>
      <w:pPr>
        <w:adjustRightInd w:val="0"/>
        <w:snapToGrid w:val="0"/>
        <w:spacing w:line="281" w:lineRule="auto"/>
        <w:rPr>
          <w:rFonts w:hint="eastAsia"/>
          <w:bCs/>
          <w:sz w:val="18"/>
          <w:szCs w:val="18"/>
          <w:highlight w:val="none"/>
        </w:rPr>
      </w:pPr>
      <w:r>
        <w:rPr>
          <w:rFonts w:hint="eastAsia"/>
          <w:bCs/>
          <w:sz w:val="18"/>
          <w:szCs w:val="18"/>
          <w:highlight w:val="none"/>
        </w:rPr>
        <w:t>（1）投资于标准化固收类</w:t>
      </w:r>
      <w:r>
        <w:rPr>
          <w:rFonts w:hint="eastAsia"/>
          <w:bCs/>
          <w:sz w:val="18"/>
          <w:szCs w:val="18"/>
          <w:highlight w:val="none"/>
          <w:lang w:val="en-US" w:eastAsia="zh-CN"/>
        </w:rPr>
        <w:t>资产</w:t>
      </w:r>
      <w:r>
        <w:rPr>
          <w:rFonts w:hint="eastAsia"/>
          <w:bCs/>
          <w:sz w:val="18"/>
          <w:szCs w:val="18"/>
          <w:highlight w:val="none"/>
        </w:rPr>
        <w:t>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highlight w:val="none"/>
        </w:rPr>
      </w:pPr>
      <w:r>
        <w:rPr>
          <w:rFonts w:hint="eastAsia"/>
          <w:bCs/>
          <w:sz w:val="18"/>
          <w:szCs w:val="18"/>
          <w:highlight w:val="none"/>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（3）投资于权益类</w:t>
      </w:r>
      <w:r>
        <w:rPr>
          <w:rFonts w:hint="eastAsia"/>
          <w:bCs/>
          <w:sz w:val="18"/>
          <w:szCs w:val="18"/>
          <w:highlight w:val="none"/>
          <w:lang w:eastAsia="zh-CN"/>
        </w:rPr>
        <w:t>、</w:t>
      </w:r>
      <w:r>
        <w:rPr>
          <w:rFonts w:hint="eastAsia"/>
          <w:sz w:val="18"/>
          <w:szCs w:val="18"/>
          <w:highlight w:val="none"/>
        </w:rPr>
        <w:t>商品及金融衍生品类</w:t>
      </w:r>
      <w:r>
        <w:rPr>
          <w:rFonts w:hint="eastAsia"/>
          <w:bCs/>
          <w:sz w:val="18"/>
          <w:szCs w:val="18"/>
          <w:highlight w:val="none"/>
        </w:rPr>
        <w:t>资产的可能流动性风险（如有）：包括但不限于上市公司普通股、上市公司优先股、股票基金、股票定向增发</w:t>
      </w:r>
      <w:r>
        <w:rPr>
          <w:rFonts w:hint="eastAsia"/>
          <w:bCs/>
          <w:sz w:val="18"/>
          <w:szCs w:val="18"/>
          <w:highlight w:val="none"/>
          <w:lang w:eastAsia="zh-CN"/>
        </w:rPr>
        <w:t>、</w:t>
      </w:r>
      <w:r>
        <w:rPr>
          <w:rFonts w:hint="eastAsia"/>
          <w:bCs/>
          <w:sz w:val="18"/>
          <w:szCs w:val="18"/>
          <w:highlight w:val="none"/>
          <w:lang w:val="en-US" w:eastAsia="zh-CN"/>
        </w:rPr>
        <w:t>商品基金</w:t>
      </w:r>
      <w:r>
        <w:rPr>
          <w:rFonts w:hint="eastAsia"/>
          <w:bCs/>
          <w:sz w:val="18"/>
          <w:szCs w:val="18"/>
          <w:highlight w:val="none"/>
        </w:rPr>
        <w:t>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widowControl/>
              <w:jc w:val="center"/>
              <w:rPr>
                <w:rFonts w:hint="eastAsia" w:ascii="宋体" w:hAnsi="宋体" w:cs="宋体"/>
                <w:color w:val="000000"/>
                <w:kern w:val="0"/>
                <w:sz w:val="18"/>
                <w:szCs w:val="18"/>
                <w:highlight w:val="none"/>
                <w:lang w:eastAsia="zh-CN"/>
              </w:rPr>
            </w:pPr>
            <w:bookmarkStart w:id="0" w:name="_GoBack" w:colFirst="0" w:colLast="1"/>
            <w:r>
              <w:rPr>
                <w:rFonts w:hint="eastAsia" w:ascii="宋体" w:hAnsi="宋体" w:cs="宋体"/>
                <w:color w:val="000000"/>
                <w:kern w:val="0"/>
                <w:sz w:val="18"/>
                <w:szCs w:val="18"/>
                <w:highlight w:val="none"/>
                <w:lang w:val="en-US" w:eastAsia="zh-CN"/>
              </w:rPr>
              <w:t>2.00%-2.30%</w:t>
            </w:r>
          </w:p>
        </w:tc>
        <w:tc>
          <w:tcPr>
            <w:tcW w:w="2500" w:type="pct"/>
          </w:tcPr>
          <w:p>
            <w:pPr>
              <w:widowControl/>
              <w:jc w:val="center"/>
              <w:rPr>
                <w:rFonts w:hint="eastAsia" w:ascii="宋体" w:hAnsi="宋体" w:cs="宋体"/>
                <w:color w:val="000000"/>
                <w:kern w:val="0"/>
                <w:sz w:val="18"/>
                <w:szCs w:val="18"/>
                <w:highlight w:val="none"/>
                <w:lang w:eastAsia="zh-CN"/>
              </w:rPr>
            </w:pPr>
            <w:r>
              <w:rPr>
                <w:rFonts w:hint="eastAsia" w:ascii="宋体" w:hAnsi="宋体" w:cs="宋体"/>
                <w:color w:val="000000"/>
                <w:kern w:val="0"/>
                <w:sz w:val="18"/>
                <w:szCs w:val="18"/>
                <w:highlight w:val="none"/>
                <w:lang w:val="en-US" w:eastAsia="zh-CN"/>
              </w:rPr>
              <w:t>2026年4月1日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vAlign w:val="top"/>
          </w:tcPr>
          <w:p>
            <w:pPr>
              <w:widowControl/>
              <w:jc w:val="center"/>
              <w:rPr>
                <w:rFonts w:hint="eastAsia" w:ascii="宋体" w:hAnsi="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2.05%-2.35%</w:t>
            </w:r>
          </w:p>
        </w:tc>
        <w:tc>
          <w:tcPr>
            <w:tcW w:w="2500" w:type="pct"/>
            <w:vAlign w:val="top"/>
          </w:tcPr>
          <w:p>
            <w:pPr>
              <w:widowControl/>
              <w:jc w:val="center"/>
              <w:rPr>
                <w:rFonts w:hint="eastAsia" w:ascii="宋体" w:hAnsi="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2026年9月30日</w:t>
            </w:r>
          </w:p>
        </w:tc>
      </w:tr>
      <w:bookmarkEnd w:id="0"/>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提供包括投资者风险承受能力评估和投资者适当性管理、理财计划份额认购/申购</w:t>
            </w:r>
            <w:r>
              <w:rPr>
                <w:rFonts w:hint="eastAsia"/>
                <w:sz w:val="18"/>
                <w:szCs w:val="18"/>
                <w:highlight w:val="none"/>
                <w:lang w:val="en-US" w:eastAsia="zh-CN"/>
              </w:rPr>
              <w:t>/赎回</w:t>
            </w:r>
            <w:r>
              <w:rPr>
                <w:rFonts w:hint="eastAsia"/>
                <w:sz w:val="18"/>
                <w:szCs w:val="18"/>
                <w:highlight w:val="none"/>
              </w:rPr>
              <w:t>、协助管理人与投资者签订理财计划合同、协助管理人进行信息披露、接受投资者咨询和客户维护等销售服务。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宁波银行股份有限公司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浙江省宁波市鄞州区宁东路345号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6" w:lineRule="auto"/>
        <w:rPr>
          <w:sz w:val="18"/>
          <w:szCs w:val="18"/>
          <w:highlight w:val="none"/>
        </w:rPr>
      </w:pPr>
    </w:p>
    <w:p>
      <w:pPr>
        <w:adjustRightInd w:val="0"/>
        <w:snapToGrid w:val="0"/>
        <w:spacing w:line="286" w:lineRule="auto"/>
        <w:rPr>
          <w:b/>
          <w:bCs/>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 xml:space="preserve">日，投资管理人和理财托管人核对估值结果（如遇非工作日顺延至下一工作日）。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w:t>
      </w:r>
      <w:r>
        <w:rPr>
          <w:rFonts w:hint="eastAsia"/>
          <w:sz w:val="18"/>
          <w:szCs w:val="18"/>
          <w:highlight w:val="none"/>
          <w:lang w:val="en-US" w:eastAsia="zh-CN"/>
        </w:rPr>
        <w:t>所有的资产及负债</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sz w:val="18"/>
          <w:szCs w:val="18"/>
          <w:highlight w:val="none"/>
        </w:rPr>
      </w:pPr>
      <w:r>
        <w:rPr>
          <w:rFonts w:hint="eastAsia"/>
          <w:sz w:val="18"/>
          <w:szCs w:val="18"/>
          <w:highlight w:val="none"/>
        </w:rPr>
        <w:t>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本产品业绩比较基准仅作为计提产品浮动管理费的依据，不构成温州银行对该理财产品的任何收益承诺。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color w:val="000000"/>
          <w:sz w:val="18"/>
          <w:szCs w:val="18"/>
          <w:highlight w:val="none"/>
        </w:rPr>
        <w:t>《温州银行“金鹿理财-温盈”20034号开放式净值型（第i期）银行理财计划开放认购（申购）申请书》。投资运作周期到期时，该周期内的资金收益情况根据所投资资产组合的实际运作情况确定。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highlight w:val="none"/>
        </w:rPr>
      </w:pPr>
      <w:r>
        <w:rPr>
          <w:rFonts w:hint="eastAsia"/>
          <w:sz w:val="18"/>
          <w:szCs w:val="18"/>
          <w:highlight w:val="none"/>
        </w:rPr>
        <w:t>【理财产品单位净值】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w:t>
      </w:r>
      <w:r>
        <w:rPr>
          <w:rFonts w:hint="eastAsia"/>
          <w:sz w:val="18"/>
          <w:szCs w:val="18"/>
          <w:highlight w:val="none"/>
          <w:lang w:val="en-US" w:eastAsia="zh-CN"/>
        </w:rPr>
        <w:t>总</w:t>
      </w:r>
      <w:r>
        <w:rPr>
          <w:rFonts w:hint="eastAsia"/>
          <w:sz w:val="18"/>
          <w:szCs w:val="18"/>
          <w:highlight w:val="none"/>
        </w:rPr>
        <w:t>净值÷理财产品</w:t>
      </w:r>
      <w:r>
        <w:rPr>
          <w:rFonts w:hint="eastAsia"/>
          <w:sz w:val="18"/>
          <w:szCs w:val="18"/>
          <w:highlight w:val="none"/>
          <w:lang w:val="en-US" w:eastAsia="zh-CN"/>
        </w:rPr>
        <w:t>总</w:t>
      </w:r>
      <w:r>
        <w:rPr>
          <w:rFonts w:hint="eastAsia"/>
          <w:sz w:val="18"/>
          <w:szCs w:val="18"/>
          <w:highlight w:val="none"/>
        </w:rPr>
        <w:t>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lang w:eastAsia="zh-CN"/>
        </w:rPr>
        <w:t>、</w:t>
      </w:r>
      <w:r>
        <w:rPr>
          <w:sz w:val="18"/>
          <w:szCs w:val="18"/>
          <w:highlight w:val="none"/>
        </w:rPr>
        <w:t>投资</w:t>
      </w:r>
      <w:r>
        <w:rPr>
          <w:rFonts w:hint="eastAsia"/>
          <w:sz w:val="18"/>
          <w:szCs w:val="18"/>
          <w:highlight w:val="none"/>
        </w:rPr>
        <w:t>运作</w:t>
      </w:r>
      <w:r>
        <w:rPr>
          <w:sz w:val="18"/>
          <w:szCs w:val="18"/>
          <w:highlight w:val="none"/>
        </w:rPr>
        <w:t>周期</w:t>
      </w:r>
      <w:r>
        <w:rPr>
          <w:rFonts w:hint="eastAsia"/>
          <w:color w:val="000000"/>
          <w:sz w:val="18"/>
          <w:szCs w:val="18"/>
          <w:highlight w:val="none"/>
        </w:rPr>
        <w:t>：本理财计划成立日为2020年4月8日，从成立日起，每</w:t>
      </w:r>
      <w:r>
        <w:rPr>
          <w:rFonts w:ascii="宋体" w:hAnsi="宋体"/>
          <w:sz w:val="18"/>
          <w:highlight w:val="none"/>
        </w:rPr>
        <w:t>【</w:t>
      </w:r>
      <w:r>
        <w:rPr>
          <w:rFonts w:hint="eastAsia" w:ascii="宋体" w:hAnsi="宋体"/>
          <w:color w:val="000000"/>
          <w:sz w:val="18"/>
          <w:highlight w:val="none"/>
        </w:rPr>
        <w:t>184</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184</w:t>
      </w:r>
      <w:r>
        <w:rPr>
          <w:rFonts w:ascii="宋体" w:hAnsi="宋体"/>
          <w:sz w:val="18"/>
          <w:highlight w:val="none"/>
        </w:rPr>
        <w:t>】天</w:t>
      </w:r>
      <w:r>
        <w:rPr>
          <w:rFonts w:hint="eastAsia"/>
          <w:sz w:val="18"/>
          <w:szCs w:val="18"/>
          <w:highlight w:val="none"/>
        </w:rPr>
        <w:t>。</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lang w:eastAsia="zh-CN"/>
        </w:rPr>
        <w:t>、</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lang w:eastAsia="zh-CN"/>
        </w:rPr>
        <w:t>、</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lang w:eastAsia="zh-Hans"/>
        </w:rPr>
        <w:t>千</w:t>
      </w:r>
      <w:r>
        <w:rPr>
          <w:rFonts w:hint="eastAsia"/>
          <w:sz w:val="18"/>
          <w:szCs w:val="18"/>
          <w:highlight w:val="none"/>
        </w:rPr>
        <w:t>元或人民币</w:t>
      </w:r>
      <w:r>
        <w:rPr>
          <w:sz w:val="18"/>
          <w:szCs w:val="18"/>
          <w:highlight w:val="none"/>
        </w:rPr>
        <w:t>1</w:t>
      </w:r>
      <w:r>
        <w:rPr>
          <w:rFonts w:hint="eastAsia"/>
          <w:sz w:val="18"/>
          <w:szCs w:val="18"/>
          <w:highlight w:val="none"/>
          <w:lang w:eastAsia="zh-Hans"/>
        </w:rPr>
        <w:t>千</w:t>
      </w:r>
      <w:r>
        <w:rPr>
          <w:rFonts w:hint="eastAsia"/>
          <w:sz w:val="18"/>
          <w:szCs w:val="18"/>
          <w:highlight w:val="none"/>
        </w:rPr>
        <w:t>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rFonts w:hint="eastAsia"/>
          <w:sz w:val="18"/>
          <w:szCs w:val="18"/>
          <w:highlight w:val="none"/>
        </w:rPr>
        <w:t>（10）巨额赎回：</w:t>
      </w:r>
    </w:p>
    <w:p>
      <w:pPr>
        <w:adjustRightInd w:val="0"/>
        <w:snapToGrid w:val="0"/>
        <w:spacing w:line="286" w:lineRule="auto"/>
        <w:rPr>
          <w:sz w:val="18"/>
          <w:szCs w:val="18"/>
          <w:highlight w:val="none"/>
        </w:rPr>
      </w:pPr>
      <w:r>
        <w:rPr>
          <w:rFonts w:hint="eastAsia" w:ascii="Calibri" w:hAnsi="Calibri" w:cs="Calibri"/>
          <w:sz w:val="18"/>
          <w:szCs w:val="18"/>
          <w:highlight w:val="none"/>
        </w:rPr>
        <w:t>1）</w:t>
      </w:r>
      <w:r>
        <w:rPr>
          <w:rFonts w:hint="eastAsia"/>
          <w:sz w:val="18"/>
          <w:szCs w:val="18"/>
          <w:highlight w:val="none"/>
        </w:rPr>
        <w:t>巨额赎回认定</w:t>
      </w:r>
    </w:p>
    <w:p>
      <w:pPr>
        <w:adjustRightInd w:val="0"/>
        <w:snapToGrid w:val="0"/>
        <w:spacing w:line="286" w:lineRule="auto"/>
        <w:rPr>
          <w:sz w:val="18"/>
          <w:szCs w:val="18"/>
          <w:highlight w:val="none"/>
        </w:rPr>
      </w:pPr>
      <w:r>
        <w:rPr>
          <w:rFonts w:hint="eastAsia"/>
          <w:sz w:val="18"/>
          <w:szCs w:val="18"/>
          <w:highlight w:val="none"/>
        </w:rPr>
        <w:t>理财计划存续期内，若理财计划赎回日净赎回申请份额超过</w:t>
      </w:r>
      <w:r>
        <w:rPr>
          <w:rFonts w:hint="eastAsia"/>
          <w:sz w:val="18"/>
          <w:szCs w:val="18"/>
          <w:highlight w:val="none"/>
          <w:lang w:val="en-US" w:eastAsia="zh-CN"/>
        </w:rPr>
        <w:t>前一</w:t>
      </w:r>
      <w:r>
        <w:rPr>
          <w:rFonts w:hint="eastAsia"/>
          <w:sz w:val="18"/>
          <w:szCs w:val="18"/>
          <w:highlight w:val="none"/>
        </w:rPr>
        <w:t>日终理财计划总份额10%时，即构成巨额赎回，监管机构另有规定的除外。</w:t>
      </w:r>
    </w:p>
    <w:p>
      <w:pPr>
        <w:adjustRightInd w:val="0"/>
        <w:snapToGrid w:val="0"/>
        <w:spacing w:line="286" w:lineRule="auto"/>
        <w:rPr>
          <w:sz w:val="18"/>
          <w:szCs w:val="18"/>
          <w:highlight w:val="none"/>
        </w:rPr>
      </w:pPr>
      <w:r>
        <w:rPr>
          <w:rFonts w:hint="eastAsia"/>
          <w:sz w:val="18"/>
          <w:szCs w:val="18"/>
          <w:highlight w:val="none"/>
        </w:rPr>
        <w:t>2）巨额赎回处理</w:t>
      </w:r>
    </w:p>
    <w:p>
      <w:pPr>
        <w:adjustRightInd w:val="0"/>
        <w:snapToGrid w:val="0"/>
        <w:spacing w:line="286" w:lineRule="auto"/>
        <w:rPr>
          <w:sz w:val="18"/>
          <w:szCs w:val="18"/>
          <w:highlight w:val="none"/>
        </w:rPr>
      </w:pPr>
      <w:r>
        <w:rPr>
          <w:rFonts w:hint="eastAsia"/>
          <w:sz w:val="18"/>
          <w:szCs w:val="18"/>
          <w:highlight w:val="none"/>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highlight w:val="none"/>
        </w:rPr>
      </w:pPr>
      <w:r>
        <w:rPr>
          <w:rFonts w:hint="eastAsia"/>
          <w:sz w:val="18"/>
          <w:szCs w:val="18"/>
          <w:highlight w:val="none"/>
        </w:rPr>
        <w:fldChar w:fldCharType="begin"/>
      </w:r>
      <w:r>
        <w:rPr>
          <w:rFonts w:hint="eastAsia"/>
          <w:sz w:val="18"/>
          <w:szCs w:val="18"/>
          <w:highlight w:val="none"/>
        </w:rPr>
        <w:instrText xml:space="preserve"> = 1 \* GB3 \* MERGEFORMAT </w:instrText>
      </w:r>
      <w:r>
        <w:rPr>
          <w:rFonts w:hint="eastAsia"/>
          <w:sz w:val="18"/>
          <w:szCs w:val="18"/>
          <w:highlight w:val="none"/>
        </w:rPr>
        <w:fldChar w:fldCharType="separate"/>
      </w:r>
      <w:r>
        <w:rPr>
          <w:highlight w:val="none"/>
        </w:rPr>
        <w:t>①</w:t>
      </w:r>
      <w:r>
        <w:rPr>
          <w:rFonts w:hint="eastAsia"/>
          <w:sz w:val="18"/>
          <w:szCs w:val="18"/>
          <w:highlight w:val="none"/>
        </w:rPr>
        <w:fldChar w:fldCharType="end"/>
      </w:r>
      <w:r>
        <w:rPr>
          <w:rFonts w:hint="eastAsia"/>
          <w:sz w:val="18"/>
          <w:szCs w:val="18"/>
          <w:highlight w:val="none"/>
        </w:rPr>
        <w:t>全部赎回：当管理人认为有能力兑付投资者的全部赎回申请时，按正常赎回程序执行。</w:t>
      </w:r>
    </w:p>
    <w:p>
      <w:pPr>
        <w:adjustRightInd w:val="0"/>
        <w:snapToGrid w:val="0"/>
        <w:spacing w:line="286" w:lineRule="auto"/>
        <w:rPr>
          <w:sz w:val="18"/>
          <w:szCs w:val="18"/>
          <w:highlight w:val="none"/>
        </w:rPr>
      </w:pPr>
      <w:r>
        <w:rPr>
          <w:rFonts w:ascii="Calibri" w:hAnsi="Calibri" w:cs="Calibri"/>
          <w:sz w:val="18"/>
          <w:szCs w:val="18"/>
          <w:highlight w:val="none"/>
        </w:rPr>
        <w:t>②</w:t>
      </w:r>
      <w:r>
        <w:rPr>
          <w:rFonts w:hint="eastAsia"/>
          <w:sz w:val="18"/>
          <w:szCs w:val="18"/>
          <w:highlight w:val="none"/>
        </w:rPr>
        <w:t>部分赎回：当管理人办理的赎回份额不低于理财计划</w:t>
      </w:r>
      <w:r>
        <w:rPr>
          <w:rFonts w:hint="eastAsia"/>
          <w:sz w:val="18"/>
          <w:szCs w:val="18"/>
          <w:highlight w:val="none"/>
          <w:lang w:val="en-US" w:eastAsia="zh-CN"/>
        </w:rPr>
        <w:t>前一</w:t>
      </w:r>
      <w:r>
        <w:rPr>
          <w:rFonts w:hint="eastAsia"/>
          <w:sz w:val="18"/>
          <w:szCs w:val="18"/>
          <w:highlight w:val="none"/>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③</w:t>
      </w:r>
      <w:r>
        <w:rPr>
          <w:rFonts w:hint="eastAsia" w:ascii="Calibri" w:hAnsi="Calibri" w:cs="Calibri"/>
          <w:sz w:val="18"/>
          <w:szCs w:val="18"/>
          <w:highlight w:val="none"/>
        </w:rPr>
        <w:t>延期支付赎回款项：</w:t>
      </w:r>
      <w:r>
        <w:rPr>
          <w:rFonts w:ascii="Calibri" w:hAnsi="Calibri" w:cs="Calibri"/>
          <w:sz w:val="18"/>
          <w:szCs w:val="18"/>
          <w:highlight w:val="none"/>
        </w:rPr>
        <w:t>连续2个</w:t>
      </w:r>
      <w:r>
        <w:rPr>
          <w:rFonts w:hint="eastAsia" w:ascii="Calibri" w:hAnsi="Calibri" w:cs="Calibri"/>
          <w:sz w:val="18"/>
          <w:szCs w:val="18"/>
          <w:highlight w:val="none"/>
        </w:rPr>
        <w:t>（含）</w:t>
      </w:r>
      <w:r>
        <w:rPr>
          <w:rFonts w:ascii="Calibri" w:hAnsi="Calibri" w:cs="Calibri"/>
          <w:sz w:val="18"/>
          <w:szCs w:val="18"/>
          <w:highlight w:val="none"/>
        </w:rPr>
        <w:t>以上开放日发生巨额赎回的，除采取</w:t>
      </w:r>
      <w:r>
        <w:rPr>
          <w:rFonts w:hint="eastAsia" w:ascii="Calibri" w:hAnsi="Calibri" w:cs="Calibri"/>
          <w:sz w:val="18"/>
          <w:szCs w:val="18"/>
          <w:highlight w:val="none"/>
        </w:rPr>
        <w:t>前述</w:t>
      </w:r>
      <w:r>
        <w:rPr>
          <w:rFonts w:ascii="Calibri" w:hAnsi="Calibri" w:cs="Calibri"/>
          <w:sz w:val="18"/>
          <w:szCs w:val="18"/>
          <w:highlight w:val="none"/>
        </w:rPr>
        <w:t>措施外，对于已经接受的赎回申请，</w:t>
      </w:r>
      <w:r>
        <w:rPr>
          <w:rFonts w:hint="eastAsia" w:ascii="Calibri" w:hAnsi="Calibri" w:cs="Calibri"/>
          <w:sz w:val="18"/>
          <w:szCs w:val="18"/>
          <w:highlight w:val="none"/>
        </w:rPr>
        <w:t>管理人</w:t>
      </w:r>
      <w:r>
        <w:rPr>
          <w:rFonts w:ascii="Calibri" w:hAnsi="Calibri" w:cs="Calibri"/>
          <w:sz w:val="18"/>
          <w:szCs w:val="18"/>
          <w:highlight w:val="none"/>
        </w:rPr>
        <w:t>还可以延缓支付赎回款项，但延缓期限不得超过20个工作日。</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④</w:t>
      </w:r>
      <w:r>
        <w:rPr>
          <w:rFonts w:hint="eastAsia" w:ascii="Calibri" w:hAnsi="Calibri" w:cs="Calibri"/>
          <w:sz w:val="18"/>
          <w:szCs w:val="18"/>
          <w:highlight w:val="none"/>
        </w:rPr>
        <w:t>收取短期赎回费：产品发生巨额赎回或管理人认为可能</w:t>
      </w:r>
      <w:r>
        <w:rPr>
          <w:rFonts w:hint="eastAsia" w:ascii="Calibri" w:hAnsi="Calibri" w:cs="Calibri"/>
          <w:sz w:val="18"/>
          <w:szCs w:val="18"/>
          <w:highlight w:val="none"/>
          <w:lang w:val="en-US" w:eastAsia="zh-CN"/>
        </w:rPr>
        <w:t>会</w:t>
      </w:r>
      <w:r>
        <w:rPr>
          <w:rFonts w:hint="eastAsia" w:ascii="Calibri" w:hAnsi="Calibri" w:cs="Calibri"/>
          <w:sz w:val="18"/>
          <w:szCs w:val="18"/>
          <w:highlight w:val="none"/>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highlight w:val="none"/>
        </w:rPr>
      </w:pPr>
      <w:r>
        <w:rPr>
          <w:rFonts w:hint="eastAsia"/>
          <w:sz w:val="18"/>
          <w:szCs w:val="18"/>
          <w:highlight w:val="none"/>
        </w:rPr>
        <w:t>摆动定价机制</w:t>
      </w:r>
    </w:p>
    <w:p>
      <w:pPr>
        <w:adjustRightInd w:val="0"/>
        <w:snapToGrid w:val="0"/>
        <w:spacing w:line="286" w:lineRule="auto"/>
        <w:rPr>
          <w:sz w:val="18"/>
          <w:szCs w:val="18"/>
          <w:highlight w:val="none"/>
        </w:rPr>
      </w:pPr>
      <w:r>
        <w:rPr>
          <w:rFonts w:hint="eastAsia"/>
          <w:sz w:val="18"/>
          <w:szCs w:val="18"/>
          <w:highlight w:val="none"/>
        </w:rPr>
        <w:t>当产品</w:t>
      </w:r>
      <w:r>
        <w:rPr>
          <w:sz w:val="18"/>
          <w:szCs w:val="18"/>
          <w:highlight w:val="none"/>
        </w:rPr>
        <w:t>发生大额认</w:t>
      </w:r>
      <w:r>
        <w:rPr>
          <w:rFonts w:hint="eastAsia"/>
          <w:sz w:val="18"/>
          <w:szCs w:val="18"/>
          <w:highlight w:val="none"/>
        </w:rPr>
        <w:t>（申）</w:t>
      </w:r>
      <w:r>
        <w:rPr>
          <w:sz w:val="18"/>
          <w:szCs w:val="18"/>
          <w:highlight w:val="none"/>
        </w:rPr>
        <w:t>购或赎回时，</w:t>
      </w:r>
      <w:r>
        <w:rPr>
          <w:rFonts w:hint="eastAsia"/>
          <w:sz w:val="18"/>
          <w:szCs w:val="18"/>
          <w:highlight w:val="none"/>
        </w:rPr>
        <w:t>管理人</w:t>
      </w:r>
      <w:r>
        <w:rPr>
          <w:sz w:val="18"/>
          <w:szCs w:val="18"/>
          <w:highlight w:val="none"/>
        </w:rPr>
        <w:t>可以采用摆动定价机制</w:t>
      </w:r>
      <w:r>
        <w:rPr>
          <w:rFonts w:hint="eastAsia"/>
          <w:sz w:val="18"/>
          <w:szCs w:val="18"/>
          <w:highlight w:val="none"/>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highlight w:val="none"/>
        </w:rPr>
      </w:pPr>
      <w:r>
        <w:rPr>
          <w:rFonts w:hint="eastAsia"/>
          <w:sz w:val="18"/>
          <w:szCs w:val="18"/>
          <w:highlight w:val="none"/>
        </w:rPr>
        <w:t>4</w:t>
      </w:r>
      <w:r>
        <w:rPr>
          <w:rFonts w:hint="eastAsia"/>
          <w:sz w:val="18"/>
          <w:szCs w:val="18"/>
          <w:highlight w:val="none"/>
          <w:lang w:eastAsia="zh-CN"/>
        </w:rPr>
        <w:t>、</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5</w:t>
      </w:r>
      <w:r>
        <w:rPr>
          <w:rFonts w:hint="eastAsia"/>
          <w:sz w:val="18"/>
          <w:szCs w:val="18"/>
          <w:highlight w:val="none"/>
          <w:lang w:eastAsia="zh-CN"/>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申购份额＝申购金额÷申购确认日前一自然日理财计划份额净值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w:t>
      </w:r>
      <w:r>
        <w:rPr>
          <w:rFonts w:hint="eastAsia"/>
          <w:sz w:val="18"/>
          <w:szCs w:val="18"/>
          <w:highlight w:val="none"/>
          <w:lang w:val="en-US" w:eastAsia="zh-CN"/>
        </w:rPr>
        <w:t>额</w:t>
      </w:r>
      <w:r>
        <w:rPr>
          <w:rFonts w:hint="eastAsia"/>
          <w:sz w:val="18"/>
          <w:szCs w:val="18"/>
          <w:highlight w:val="none"/>
        </w:rPr>
        <w:t>＝100万元人民币÷1.0250＝975609.76份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理财计划采用“份额赎回”方式，赎回价格以赎回确认日前一自然日的理财计划份额净值为基准进行计算</w:t>
      </w:r>
      <w:r>
        <w:rPr>
          <w:rFonts w:hint="eastAsia"/>
          <w:sz w:val="18"/>
          <w:szCs w:val="18"/>
          <w:highlight w:val="none"/>
          <w:lang w:eastAsia="zh-CN"/>
        </w:rPr>
        <w:t>，</w:t>
      </w:r>
      <w:r>
        <w:rPr>
          <w:rFonts w:hint="eastAsia"/>
          <w:sz w:val="18"/>
          <w:szCs w:val="18"/>
          <w:highlight w:val="none"/>
        </w:rPr>
        <w:t>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赎回金额＝总赎回份额×赎回确认日前一自然日理财计划份额净值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赎回费＝赎回金额×赎回费率，本计划赎回费率为0</w:t>
      </w:r>
      <w:r>
        <w:rPr>
          <w:rFonts w:hint="eastAsia"/>
          <w:sz w:val="18"/>
          <w:szCs w:val="18"/>
          <w:highlight w:val="none"/>
          <w:lang w:val="en-US" w:eastAsia="zh-CN"/>
        </w:rPr>
        <w:t>%</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示例：假定某投资者赎回100000份理财计划份额，理财计划份额净值为1.0530元人民币时赎回。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sz w:val="18"/>
          <w:szCs w:val="18"/>
          <w:highlight w:val="none"/>
        </w:rPr>
      </w:pPr>
      <w:r>
        <w:rPr>
          <w:rFonts w:hint="eastAsia"/>
          <w:sz w:val="18"/>
          <w:szCs w:val="18"/>
          <w:highlight w:val="none"/>
        </w:rPr>
        <w:t>6</w:t>
      </w:r>
      <w:r>
        <w:rPr>
          <w:rFonts w:hint="eastAsia"/>
          <w:sz w:val="18"/>
          <w:szCs w:val="18"/>
          <w:highlight w:val="none"/>
          <w:lang w:eastAsia="zh-CN"/>
        </w:rPr>
        <w:t>、</w:t>
      </w:r>
      <w:r>
        <w:rPr>
          <w:rFonts w:hint="eastAsia"/>
          <w:sz w:val="18"/>
          <w:szCs w:val="18"/>
          <w:highlight w:val="none"/>
        </w:rPr>
        <w:t>拒绝或暂停接受申购或赎回申请、延缓支付赎回款项的情形及处理方式</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（1）发生以下情形，管理人可以决定是否拒绝或暂停接受全部或部分投资者的申购申请：</w:t>
      </w:r>
    </w:p>
    <w:p>
      <w:pPr>
        <w:adjustRightInd w:val="0"/>
        <w:snapToGrid w:val="0"/>
        <w:spacing w:line="286" w:lineRule="auto"/>
        <w:rPr>
          <w:sz w:val="18"/>
          <w:szCs w:val="18"/>
          <w:highlight w:val="none"/>
        </w:rPr>
      </w:pPr>
      <w:r>
        <w:rPr>
          <w:rFonts w:hint="eastAsia"/>
          <w:sz w:val="18"/>
          <w:szCs w:val="18"/>
          <w:highlight w:val="none"/>
        </w:rPr>
        <w:t>1）投资者申购超过产品说明书约定的发行规模上限、单笔认/申购上限、单一客户持有上限、单日净申购比例上限等。</w:t>
      </w:r>
    </w:p>
    <w:p>
      <w:pPr>
        <w:adjustRightInd w:val="0"/>
        <w:snapToGrid w:val="0"/>
        <w:spacing w:line="286" w:lineRule="auto"/>
        <w:rPr>
          <w:sz w:val="18"/>
          <w:szCs w:val="18"/>
          <w:highlight w:val="none"/>
        </w:rPr>
      </w:pPr>
      <w:r>
        <w:rPr>
          <w:rFonts w:hint="eastAsia"/>
          <w:sz w:val="18"/>
          <w:szCs w:val="18"/>
          <w:highlight w:val="none"/>
        </w:rPr>
        <w:t>2）理财计划资产规模过大，继续接受申购可能对理财计划业绩产生负面影响，从而损害理财产品存量投资者利益的情形时。</w:t>
      </w:r>
    </w:p>
    <w:p>
      <w:pPr>
        <w:adjustRightInd w:val="0"/>
        <w:snapToGrid w:val="0"/>
        <w:spacing w:line="286" w:lineRule="auto"/>
        <w:rPr>
          <w:sz w:val="18"/>
          <w:szCs w:val="18"/>
          <w:highlight w:val="none"/>
        </w:rPr>
      </w:pPr>
      <w:r>
        <w:rPr>
          <w:rFonts w:hint="eastAsia"/>
          <w:sz w:val="18"/>
          <w:szCs w:val="18"/>
          <w:highlight w:val="none"/>
        </w:rPr>
        <w:t>3）当接受认购申请可能会有损于理财产品存量投资者利益时。</w:t>
      </w:r>
    </w:p>
    <w:p>
      <w:pPr>
        <w:adjustRightInd w:val="0"/>
        <w:snapToGrid w:val="0"/>
        <w:spacing w:line="286" w:lineRule="auto"/>
        <w:rPr>
          <w:sz w:val="18"/>
          <w:szCs w:val="18"/>
          <w:highlight w:val="none"/>
        </w:rPr>
      </w:pPr>
      <w:r>
        <w:rPr>
          <w:rFonts w:hint="eastAsia"/>
          <w:sz w:val="18"/>
          <w:szCs w:val="18"/>
          <w:highlight w:val="none"/>
        </w:rPr>
        <w:t>4）当管理人接受某笔或者某些申购申请有可能导致单一投资者持有理财计划份额的比例达到或超过50%的情形。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5）发生产品说明书约定的暂停估值的情形时。</w:t>
      </w:r>
    </w:p>
    <w:p>
      <w:pPr>
        <w:adjustRightInd w:val="0"/>
        <w:snapToGrid w:val="0"/>
        <w:spacing w:line="286" w:lineRule="auto"/>
        <w:rPr>
          <w:sz w:val="18"/>
          <w:szCs w:val="18"/>
          <w:highlight w:val="none"/>
        </w:rPr>
      </w:pPr>
      <w:r>
        <w:rPr>
          <w:rFonts w:hint="eastAsia"/>
          <w:sz w:val="18"/>
          <w:szCs w:val="18"/>
          <w:highlight w:val="none"/>
        </w:rPr>
        <w:t>6）法律法规规定或监管机构认定的其他情形。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（2）发生下列情形时，管理人可暂停接受投资者的赎回申请或延缓支付赎回款项：</w:t>
      </w:r>
    </w:p>
    <w:p>
      <w:pPr>
        <w:numPr>
          <w:ilvl w:val="0"/>
          <w:numId w:val="3"/>
        </w:numPr>
        <w:adjustRightInd w:val="0"/>
        <w:snapToGrid w:val="0"/>
        <w:spacing w:line="286" w:lineRule="auto"/>
        <w:rPr>
          <w:sz w:val="18"/>
          <w:szCs w:val="18"/>
          <w:highlight w:val="none"/>
        </w:rPr>
      </w:pPr>
      <w:r>
        <w:rPr>
          <w:rFonts w:hint="eastAsia"/>
          <w:sz w:val="18"/>
          <w:szCs w:val="18"/>
          <w:highlight w:val="none"/>
        </w:rPr>
        <w:t>发生巨额赎回或连续巨额赎回的情形时。</w:t>
      </w:r>
    </w:p>
    <w:p>
      <w:pPr>
        <w:numPr>
          <w:ilvl w:val="0"/>
          <w:numId w:val="3"/>
        </w:numPr>
        <w:adjustRightInd w:val="0"/>
        <w:snapToGrid w:val="0"/>
        <w:spacing w:line="286" w:lineRule="auto"/>
        <w:rPr>
          <w:sz w:val="18"/>
          <w:szCs w:val="18"/>
          <w:highlight w:val="none"/>
        </w:rPr>
      </w:pPr>
      <w:r>
        <w:rPr>
          <w:sz w:val="18"/>
          <w:szCs w:val="18"/>
          <w:highlight w:val="none"/>
        </w:rPr>
        <w:t>当</w:t>
      </w:r>
      <w:r>
        <w:rPr>
          <w:rFonts w:hint="eastAsia"/>
          <w:sz w:val="18"/>
          <w:szCs w:val="18"/>
          <w:highlight w:val="none"/>
        </w:rPr>
        <w:t>接受赎回</w:t>
      </w:r>
      <w:r>
        <w:rPr>
          <w:sz w:val="18"/>
          <w:szCs w:val="18"/>
          <w:highlight w:val="none"/>
        </w:rPr>
        <w:t>申请可能会有损于理财产品存量投资者利益时。</w:t>
      </w:r>
    </w:p>
    <w:p>
      <w:pPr>
        <w:numPr>
          <w:ilvl w:val="0"/>
          <w:numId w:val="3"/>
        </w:numPr>
        <w:adjustRightInd w:val="0"/>
        <w:snapToGrid w:val="0"/>
        <w:spacing w:line="286" w:lineRule="auto"/>
        <w:rPr>
          <w:sz w:val="18"/>
          <w:szCs w:val="18"/>
          <w:highlight w:val="none"/>
        </w:rPr>
      </w:pPr>
      <w:r>
        <w:rPr>
          <w:rFonts w:hint="eastAsia"/>
          <w:sz w:val="18"/>
          <w:szCs w:val="18"/>
          <w:highlight w:val="none"/>
        </w:rPr>
        <w:t>发生赎回申请超过赎回上限的情形时。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发生产品说明书约定的暂停估值的情形时。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highlight w:val="none"/>
        </w:rPr>
      </w:pPr>
      <w:r>
        <w:rPr>
          <w:rFonts w:hint="eastAsia"/>
          <w:sz w:val="18"/>
          <w:szCs w:val="18"/>
          <w:highlight w:val="none"/>
        </w:rPr>
        <w:t>【终止（包括到期终止、提前终止、延期终止）】</w:t>
      </w:r>
    </w:p>
    <w:p>
      <w:pPr>
        <w:adjustRightInd w:val="0"/>
        <w:snapToGrid w:val="0"/>
        <w:spacing w:line="286" w:lineRule="auto"/>
        <w:rPr>
          <w:sz w:val="18"/>
          <w:szCs w:val="18"/>
          <w:highlight w:val="none"/>
        </w:rPr>
      </w:pPr>
      <w:r>
        <w:rPr>
          <w:rFonts w:hint="eastAsia"/>
          <w:color w:val="000000"/>
          <w:sz w:val="18"/>
          <w:szCs w:val="18"/>
          <w:highlight w:val="none"/>
        </w:rPr>
        <w:t>本产品预计到期终止日为2030年4月8日</w:t>
      </w:r>
      <w:r>
        <w:rPr>
          <w:rFonts w:hint="eastAsia"/>
          <w:color w:val="000000"/>
          <w:sz w:val="18"/>
          <w:highlight w:val="none"/>
        </w:rPr>
        <w:t>，</w:t>
      </w:r>
      <w:r>
        <w:rPr>
          <w:rFonts w:hint="eastAsia"/>
          <w:sz w:val="18"/>
          <w:szCs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sz w:val="18"/>
          <w:szCs w:val="18"/>
          <w:highlight w:val="none"/>
        </w:rPr>
      </w:pPr>
      <w:r>
        <w:rPr>
          <w:rFonts w:hint="eastAsia"/>
          <w:sz w:val="18"/>
          <w:szCs w:val="18"/>
          <w:highlight w:val="none"/>
        </w:rPr>
        <w:t>其中：</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以及除权分红前的产品资产净值</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，若业绩比较基准存在区间范围的，则为业绩比较基准区间均值</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sz w:val="18"/>
          <w:szCs w:val="18"/>
          <w:highlight w:val="none"/>
        </w:rPr>
      </w:pPr>
      <w:r>
        <w:rPr>
          <w:rFonts w:hint="eastAsia"/>
          <w:sz w:val="18"/>
          <w:szCs w:val="18"/>
          <w:highlight w:val="none"/>
          <w:lang w:val="en-US" w:eastAsia="zh-CN"/>
        </w:rPr>
        <w:t>理财计划运作周期到期日收益</w:t>
      </w:r>
      <w:r>
        <w:rPr>
          <w:rFonts w:hint="eastAsia"/>
          <w:sz w:val="18"/>
          <w:szCs w:val="18"/>
          <w:highlight w:val="none"/>
        </w:rPr>
        <w:t>投资者理财收益＝认购/申购份额×投资运作周期到期日理财产品总净值÷理财产品总份额—认购/申购金额。</w:t>
      </w:r>
    </w:p>
    <w:p>
      <w:pPr>
        <w:adjustRightInd w:val="0"/>
        <w:snapToGrid w:val="0"/>
        <w:spacing w:line="286" w:lineRule="auto"/>
        <w:rPr>
          <w:sz w:val="18"/>
          <w:szCs w:val="18"/>
          <w:highlight w:val="none"/>
        </w:rPr>
      </w:pPr>
      <w:r>
        <w:rPr>
          <w:rFonts w:hint="eastAsia"/>
          <w:sz w:val="18"/>
          <w:szCs w:val="18"/>
          <w:highlight w:val="none"/>
        </w:rPr>
        <w:t>注：上述公式中“投资运作周期到期日理财产品总净值”为本理财产品资产在扣除托管费、固定管理费、浮动管理费及税费、其他费用等相关费用后计算产生的理财产品总净值。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温州银行将于运作周期到期日后3个工作日内将投资者理财收益划至投资者账户。</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市场变化或波动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w:t>
      </w:r>
      <w:r>
        <w:rPr>
          <w:rFonts w:hint="eastAsia"/>
          <w:sz w:val="18"/>
          <w:szCs w:val="18"/>
          <w:highlight w:val="none"/>
          <w:lang w:val="en-US" w:eastAsia="zh-CN"/>
        </w:rPr>
        <w:t>按本理财计划说明书关于终止清算的相关约定进行分配</w:t>
      </w:r>
      <w:r>
        <w:rPr>
          <w:rFonts w:hint="eastAsia"/>
          <w:sz w:val="18"/>
          <w:szCs w:val="18"/>
          <w:highlight w:val="none"/>
        </w:rPr>
        <w:t>。</w:t>
      </w:r>
    </w:p>
    <w:p>
      <w:pPr>
        <w:adjustRightInd w:val="0"/>
        <w:snapToGrid w:val="0"/>
        <w:spacing w:line="286" w:lineRule="auto"/>
        <w:rPr>
          <w:rFonts w:hint="eastAsia"/>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收益分配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1、收益的构成</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2、收益分配的原则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1）期间分配：在理财产品运作周期内，产品管理人有权视理财产品收益情况进行主动分配。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2）终止分配：包括每个运作周期到期日终止分配和理财计划到期日终止分配，由产品管理人按照本理财计划产品说明书约定计算投资者收益后进行分配。</w:t>
      </w:r>
    </w:p>
    <w:p>
      <w:pPr>
        <w:adjustRightInd w:val="0"/>
        <w:snapToGrid w:val="0"/>
        <w:spacing w:line="286" w:lineRule="auto"/>
        <w:rPr>
          <w:rFonts w:hint="eastAsia"/>
          <w:sz w:val="18"/>
          <w:szCs w:val="18"/>
          <w:highlight w:val="none"/>
          <w:lang w:eastAsia="zh-CN"/>
        </w:rPr>
      </w:pPr>
      <w:r>
        <w:rPr>
          <w:rFonts w:hint="eastAsia"/>
          <w:sz w:val="18"/>
          <w:szCs w:val="18"/>
          <w:highlight w:val="none"/>
          <w:lang w:val="en-US" w:eastAsia="zh-CN"/>
        </w:rPr>
        <w:t>（3）根据分配方式，理财收益分为</w:t>
      </w:r>
      <w:r>
        <w:rPr>
          <w:rFonts w:hint="eastAsia"/>
          <w:sz w:val="18"/>
          <w:szCs w:val="18"/>
          <w:highlight w:val="none"/>
        </w:rPr>
        <w:t>现金分红与红利再投资。温州银行可选择现金红利分配或将现金红利自动转为</w:t>
      </w:r>
      <w:r>
        <w:rPr>
          <w:rFonts w:hint="eastAsia"/>
          <w:sz w:val="18"/>
          <w:szCs w:val="18"/>
          <w:highlight w:val="none"/>
          <w:lang w:val="en-US" w:eastAsia="zh-CN"/>
        </w:rPr>
        <w:t>产品</w:t>
      </w:r>
      <w:r>
        <w:rPr>
          <w:rFonts w:hint="eastAsia"/>
          <w:sz w:val="18"/>
          <w:szCs w:val="18"/>
          <w:highlight w:val="none"/>
        </w:rPr>
        <w:t>份额进行再投资的方式进行收益分配。</w:t>
      </w:r>
    </w:p>
    <w:p>
      <w:pPr>
        <w:adjustRightInd w:val="0"/>
        <w:snapToGrid w:val="0"/>
        <w:spacing w:line="286" w:lineRule="auto"/>
        <w:rPr>
          <w:rFonts w:hint="eastAsia"/>
          <w:sz w:val="18"/>
          <w:szCs w:val="18"/>
          <w:highlight w:val="none"/>
        </w:rPr>
      </w:pPr>
      <w:r>
        <w:rPr>
          <w:rFonts w:hint="eastAsia"/>
          <w:sz w:val="18"/>
          <w:szCs w:val="18"/>
          <w:highlight w:val="none"/>
          <w:lang w:eastAsia="zh-CN"/>
        </w:rPr>
        <w:t>（</w:t>
      </w:r>
      <w:r>
        <w:rPr>
          <w:rFonts w:hint="eastAsia"/>
          <w:sz w:val="18"/>
          <w:szCs w:val="18"/>
          <w:highlight w:val="none"/>
          <w:lang w:val="en-US" w:eastAsia="zh-CN"/>
        </w:rPr>
        <w:t>4</w:t>
      </w:r>
      <w:r>
        <w:rPr>
          <w:rFonts w:hint="eastAsia"/>
          <w:sz w:val="18"/>
          <w:szCs w:val="18"/>
          <w:highlight w:val="none"/>
          <w:lang w:eastAsia="zh-CN"/>
        </w:rPr>
        <w:t>）</w:t>
      </w:r>
      <w:r>
        <w:rPr>
          <w:rFonts w:hint="eastAsia"/>
          <w:sz w:val="18"/>
          <w:szCs w:val="18"/>
          <w:highlight w:val="none"/>
        </w:rPr>
        <w:t>投资者持有本理财计划期间，温州银行不承诺保证本金安全且不保证理财收益，投资者应得收益（如有）随投资盈亏水平浮动。</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3、收益分配方案的确定与披露</w:t>
      </w:r>
    </w:p>
    <w:p>
      <w:pPr>
        <w:adjustRightInd w:val="0"/>
        <w:snapToGrid w:val="0"/>
        <w:spacing w:line="286" w:lineRule="auto"/>
        <w:rPr>
          <w:b/>
          <w:sz w:val="18"/>
          <w:szCs w:val="18"/>
          <w:highlight w:val="none"/>
        </w:rPr>
      </w:pPr>
      <w:r>
        <w:rPr>
          <w:rFonts w:hint="eastAsia"/>
          <w:sz w:val="18"/>
          <w:szCs w:val="18"/>
          <w:highlight w:val="none"/>
          <w:lang w:val="en-US" w:eastAsia="zh-CN"/>
        </w:rPr>
        <w:t>（1）本理财计划收益分配方案由产品管理人拟定，至少在分配日前1个工作日进行公告，</w:t>
      </w:r>
      <w:r>
        <w:rPr>
          <w:rFonts w:hint="eastAsia"/>
          <w:sz w:val="18"/>
          <w:szCs w:val="18"/>
          <w:highlight w:val="none"/>
        </w:rPr>
        <w:t>理财</w:t>
      </w:r>
      <w:r>
        <w:rPr>
          <w:rFonts w:hint="eastAsia"/>
          <w:sz w:val="18"/>
          <w:szCs w:val="18"/>
          <w:highlight w:val="none"/>
          <w:lang w:val="en-US" w:eastAsia="zh-CN"/>
        </w:rPr>
        <w:t>计划</w:t>
      </w:r>
      <w:r>
        <w:rPr>
          <w:rFonts w:hint="eastAsia"/>
          <w:sz w:val="18"/>
          <w:szCs w:val="18"/>
          <w:highlight w:val="none"/>
        </w:rPr>
        <w:t>产品说明书</w:t>
      </w:r>
      <w:r>
        <w:rPr>
          <w:rFonts w:hint="eastAsia"/>
          <w:sz w:val="18"/>
          <w:szCs w:val="18"/>
          <w:highlight w:val="none"/>
          <w:lang w:val="en-US" w:eastAsia="zh-CN"/>
        </w:rPr>
        <w:t>对收益分配方案已有约定的除外</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投资者理财计划到期日持有理财计划份额×理财计划到期日理财计划单位净值</w:t>
      </w:r>
      <w:r>
        <w:rPr>
          <w:sz w:val="18"/>
          <w:szCs w:val="18"/>
          <w:highlight w:val="none"/>
        </w:rPr>
        <w:t>-税费（如有）</w:t>
      </w: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理财计划到期日单位净值-认购（申购）确认日前一自然日单位净值</w:t>
      </w:r>
      <w:r>
        <w:rPr>
          <w:sz w:val="18"/>
          <w:szCs w:val="18"/>
          <w:highlight w:val="none"/>
        </w:rPr>
        <w:t>-税费（如有）</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理财终止清算</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理财计划终止时，如理财计划项下财产全部变现，温州银行在理财计划终止日后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w:t>
      </w:r>
      <w:r>
        <w:rPr>
          <w:rFonts w:hint="eastAsia"/>
          <w:sz w:val="18"/>
          <w:szCs w:val="18"/>
          <w:highlight w:val="none"/>
          <w:lang w:val="en-US" w:eastAsia="zh-CN"/>
        </w:rPr>
        <w:t>在原定清算期结束前</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highlight w:val="none"/>
          <w:lang w:val="en-US"/>
        </w:rPr>
        <w:t>以及</w:t>
      </w:r>
      <w:r>
        <w:rPr>
          <w:rFonts w:hint="eastAsia"/>
          <w:sz w:val="18"/>
          <w:szCs w:val="18"/>
          <w:highlight w:val="none"/>
        </w:rPr>
        <w:t>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highlight w:val="none"/>
          <w:u w:val="single"/>
        </w:rPr>
        <w:t>非开放期不得提前赎回</w:t>
      </w:r>
      <w:r>
        <w:rPr>
          <w:rFonts w:hint="eastAsia"/>
          <w:sz w:val="18"/>
          <w:szCs w:val="18"/>
          <w:highlight w:val="none"/>
        </w:rPr>
        <w:t>。在理财计划存续期内的每个赎回日，若该赎回日内净赎回</w:t>
      </w:r>
      <w:r>
        <w:rPr>
          <w:rFonts w:hint="eastAsia"/>
          <w:sz w:val="18"/>
          <w:szCs w:val="18"/>
          <w:highlight w:val="none"/>
          <w:lang w:val="en-US" w:eastAsia="zh-CN"/>
        </w:rPr>
        <w:t>申请</w:t>
      </w:r>
      <w:r>
        <w:rPr>
          <w:rFonts w:hint="eastAsia"/>
          <w:sz w:val="18"/>
          <w:szCs w:val="18"/>
          <w:highlight w:val="none"/>
        </w:rPr>
        <w:t>份额合计超过</w:t>
      </w:r>
      <w:r>
        <w:rPr>
          <w:rFonts w:hint="eastAsia"/>
          <w:sz w:val="18"/>
          <w:szCs w:val="18"/>
          <w:highlight w:val="none"/>
          <w:lang w:val="en-US" w:eastAsia="zh-CN"/>
        </w:rPr>
        <w:t>前一日终</w:t>
      </w:r>
      <w:r>
        <w:rPr>
          <w:rFonts w:hint="eastAsia"/>
          <w:sz w:val="18"/>
          <w:szCs w:val="18"/>
          <w:highlight w:val="none"/>
        </w:rPr>
        <w:t>理财产品总份额的</w:t>
      </w:r>
      <w:r>
        <w:rPr>
          <w:rFonts w:hint="eastAsia"/>
          <w:sz w:val="18"/>
          <w:szCs w:val="18"/>
          <w:highlight w:val="none"/>
          <w:lang w:val="en-US" w:eastAsia="zh-CN"/>
        </w:rPr>
        <w:t>1</w:t>
      </w:r>
      <w:r>
        <w:rPr>
          <w:rFonts w:hint="eastAsia"/>
          <w:sz w:val="18"/>
          <w:szCs w:val="18"/>
          <w:highlight w:val="none"/>
        </w:rPr>
        <w:t>0%，则发生巨额赎回事件，温州银行有权拒绝接受超过</w:t>
      </w:r>
      <w:r>
        <w:rPr>
          <w:rFonts w:hint="eastAsia"/>
          <w:sz w:val="18"/>
          <w:szCs w:val="18"/>
          <w:highlight w:val="none"/>
          <w:lang w:val="en-US" w:eastAsia="zh-CN"/>
        </w:rPr>
        <w:t>1</w:t>
      </w:r>
      <w:r>
        <w:rPr>
          <w:rFonts w:hint="eastAsia"/>
          <w:sz w:val="18"/>
          <w:szCs w:val="18"/>
          <w:highlight w:val="none"/>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highlight w:val="none"/>
        </w:rPr>
      </w:pP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highlight w:val="none"/>
          <w:lang w:eastAsia="zh-CN"/>
        </w:rPr>
        <w:t>证券市场造成</w:t>
      </w:r>
      <w:r>
        <w:rPr>
          <w:rFonts w:ascii="宋体" w:hAnsi="宋体"/>
          <w:sz w:val="18"/>
          <w:szCs w:val="18"/>
          <w:highlight w:val="none"/>
        </w:rPr>
        <w:t>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lang w:eastAsia="zh-CN"/>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highlight w:val="none"/>
        </w:rPr>
      </w:pPr>
      <w:r>
        <w:rPr>
          <w:rFonts w:hint="eastAsia" w:ascii="宋体" w:hAnsi="宋体"/>
          <w:sz w:val="18"/>
          <w:szCs w:val="18"/>
          <w:highlight w:val="none"/>
        </w:rPr>
        <w:t>9</w:t>
      </w:r>
      <w:r>
        <w:rPr>
          <w:rFonts w:hint="eastAsia" w:ascii="Times New Roman" w:hAnsi="Times New Roman" w:cs="Times New Roman"/>
          <w:kern w:val="2"/>
          <w:sz w:val="18"/>
          <w:szCs w:val="18"/>
          <w:highlight w:val="none"/>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开放式产品在每个开放日结束后两个工作日内，披露产品在开放日的份额净值、份额累计净值、认（申）购价格和赎回价格。处于封闭期的定期开放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如遇法定节假日顺延</w:t>
      </w:r>
      <w:r>
        <w:rPr>
          <w:rFonts w:hint="eastAsia"/>
          <w:sz w:val="18"/>
          <w:szCs w:val="18"/>
          <w:highlight w:val="none"/>
        </w:rPr>
        <w:t>。</w:t>
      </w:r>
    </w:p>
    <w:p>
      <w:pPr>
        <w:numPr>
          <w:ilvl w:val="0"/>
          <w:numId w:val="4"/>
        </w:numPr>
        <w:adjustRightInd w:val="0"/>
        <w:snapToGrid w:val="0"/>
        <w:spacing w:line="286" w:lineRule="auto"/>
        <w:rPr>
          <w:sz w:val="18"/>
          <w:szCs w:val="18"/>
          <w:highlight w:val="none"/>
        </w:rPr>
      </w:pPr>
      <w:r>
        <w:rPr>
          <w:rFonts w:hint="eastAsia"/>
          <w:sz w:val="18"/>
          <w:szCs w:val="18"/>
          <w:highlight w:val="none"/>
        </w:rPr>
        <w:t>临时性公告：</w:t>
      </w:r>
    </w:p>
    <w:p>
      <w:pPr>
        <w:adjustRightInd w:val="0"/>
        <w:snapToGrid w:val="0"/>
        <w:spacing w:line="286" w:lineRule="auto"/>
        <w:rPr>
          <w:sz w:val="18"/>
          <w:szCs w:val="18"/>
          <w:highlight w:val="none"/>
        </w:rPr>
      </w:pPr>
      <w:r>
        <w:rPr>
          <w:rFonts w:hint="eastAsia"/>
          <w:sz w:val="18"/>
          <w:szCs w:val="18"/>
          <w:highlight w:val="none"/>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4</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b/>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w:t>
      </w:r>
    </w:p>
    <w:p>
      <w:pPr>
        <w:adjustRightInd w:val="0"/>
        <w:snapToGrid w:val="0"/>
        <w:spacing w:line="286" w:lineRule="auto"/>
        <w:rPr>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color w:val="000000"/>
          <w:sz w:val="18"/>
          <w:szCs w:val="18"/>
          <w:highlight w:val="none"/>
        </w:rPr>
        <w:t>（3）《温州银行“金鹿理财-温盈”20034号开放式净值型银行理财计划风险揭示书》、《温州银行理财计划合约》、《温州银行“金鹿理财-温盈”20034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highlight w:val="none"/>
        </w:rPr>
      </w:pPr>
    </w:p>
    <w:p>
      <w:pPr>
        <w:spacing w:before="312" w:beforeLines="100" w:line="281" w:lineRule="auto"/>
        <w:rPr>
          <w:rFonts w:ascii="宋体" w:hAnsi="宋体"/>
          <w:szCs w:val="21"/>
          <w:highlight w:val="none"/>
        </w:rPr>
      </w:pPr>
      <w:r>
        <w:rPr>
          <w:rFonts w:hint="eastAsia" w:ascii="宋体" w:hAnsi="宋体"/>
          <w:szCs w:val="21"/>
          <w:highlight w:val="none"/>
        </w:rPr>
        <w:t xml:space="preserve">         投资者签章：                                 日期：</w:t>
      </w:r>
    </w:p>
    <w:p>
      <w:pPr>
        <w:spacing w:line="372" w:lineRule="auto"/>
        <w:rPr>
          <w:rFonts w:ascii="黑体" w:eastAsia="黑体"/>
          <w:sz w:val="30"/>
          <w:szCs w:val="30"/>
          <w:highlight w:val="none"/>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tKFfgvTcWvDhc41hlrNpzXagDuE=" w:salt="Mp40uNxiERgb268zLWpOd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3241F4C"/>
    <w:rsid w:val="05692ECA"/>
    <w:rsid w:val="06AF5062"/>
    <w:rsid w:val="07B535DA"/>
    <w:rsid w:val="07EC55A4"/>
    <w:rsid w:val="08294507"/>
    <w:rsid w:val="0AB363EF"/>
    <w:rsid w:val="0BAB520A"/>
    <w:rsid w:val="0CEF7946"/>
    <w:rsid w:val="0D055C57"/>
    <w:rsid w:val="0E697CA7"/>
    <w:rsid w:val="0EAA68C9"/>
    <w:rsid w:val="0F1A3EC9"/>
    <w:rsid w:val="0F3A26CB"/>
    <w:rsid w:val="10474F4D"/>
    <w:rsid w:val="10D46D68"/>
    <w:rsid w:val="110A015B"/>
    <w:rsid w:val="11AD367A"/>
    <w:rsid w:val="11FC6491"/>
    <w:rsid w:val="126D7BD7"/>
    <w:rsid w:val="12AF54F8"/>
    <w:rsid w:val="12C37B94"/>
    <w:rsid w:val="12C50DEC"/>
    <w:rsid w:val="15217A25"/>
    <w:rsid w:val="15BD1CB8"/>
    <w:rsid w:val="15C41643"/>
    <w:rsid w:val="15FF5FA5"/>
    <w:rsid w:val="17277EF5"/>
    <w:rsid w:val="17974DC1"/>
    <w:rsid w:val="17D47E76"/>
    <w:rsid w:val="17EF05B6"/>
    <w:rsid w:val="19BC0843"/>
    <w:rsid w:val="1A0C55B0"/>
    <w:rsid w:val="1B042A21"/>
    <w:rsid w:val="1B791582"/>
    <w:rsid w:val="1B8D49E4"/>
    <w:rsid w:val="1C813061"/>
    <w:rsid w:val="1D5D13BA"/>
    <w:rsid w:val="1D7D329E"/>
    <w:rsid w:val="1E9802D8"/>
    <w:rsid w:val="1F992244"/>
    <w:rsid w:val="1FF86756"/>
    <w:rsid w:val="21716EFD"/>
    <w:rsid w:val="21D060D6"/>
    <w:rsid w:val="228F020A"/>
    <w:rsid w:val="243D7238"/>
    <w:rsid w:val="25385D7F"/>
    <w:rsid w:val="25D455A1"/>
    <w:rsid w:val="26004320"/>
    <w:rsid w:val="284D2E1D"/>
    <w:rsid w:val="285844AB"/>
    <w:rsid w:val="29E93B84"/>
    <w:rsid w:val="2C53460D"/>
    <w:rsid w:val="2DC35A21"/>
    <w:rsid w:val="2F9C0B2A"/>
    <w:rsid w:val="2FDE6441"/>
    <w:rsid w:val="30633262"/>
    <w:rsid w:val="306F7311"/>
    <w:rsid w:val="30AB0CE7"/>
    <w:rsid w:val="31253F01"/>
    <w:rsid w:val="327E6664"/>
    <w:rsid w:val="33157C11"/>
    <w:rsid w:val="34B42407"/>
    <w:rsid w:val="35270B41"/>
    <w:rsid w:val="353E2A70"/>
    <w:rsid w:val="35EA1207"/>
    <w:rsid w:val="366C33D7"/>
    <w:rsid w:val="36E42715"/>
    <w:rsid w:val="37965442"/>
    <w:rsid w:val="382F302B"/>
    <w:rsid w:val="38747519"/>
    <w:rsid w:val="388E3C7C"/>
    <w:rsid w:val="38E45900"/>
    <w:rsid w:val="39C8686F"/>
    <w:rsid w:val="3A4851EE"/>
    <w:rsid w:val="3A770E22"/>
    <w:rsid w:val="3B090C09"/>
    <w:rsid w:val="3BE35F9B"/>
    <w:rsid w:val="3D231C22"/>
    <w:rsid w:val="3E113873"/>
    <w:rsid w:val="3EF0533E"/>
    <w:rsid w:val="3F063D4E"/>
    <w:rsid w:val="3FC979F3"/>
    <w:rsid w:val="40076C80"/>
    <w:rsid w:val="4026664B"/>
    <w:rsid w:val="421B7FF4"/>
    <w:rsid w:val="42526821"/>
    <w:rsid w:val="4275406E"/>
    <w:rsid w:val="42A87CFF"/>
    <w:rsid w:val="43B55CF6"/>
    <w:rsid w:val="47643176"/>
    <w:rsid w:val="47F32BE2"/>
    <w:rsid w:val="496F6480"/>
    <w:rsid w:val="497C717E"/>
    <w:rsid w:val="49815F2A"/>
    <w:rsid w:val="49C633C6"/>
    <w:rsid w:val="4A2E173D"/>
    <w:rsid w:val="4ABC78E8"/>
    <w:rsid w:val="4BDD7CC5"/>
    <w:rsid w:val="4C26757B"/>
    <w:rsid w:val="4C4B4443"/>
    <w:rsid w:val="4C8807EB"/>
    <w:rsid w:val="4DF26BF1"/>
    <w:rsid w:val="4ED34292"/>
    <w:rsid w:val="4FC865FE"/>
    <w:rsid w:val="51FA7F99"/>
    <w:rsid w:val="524916E3"/>
    <w:rsid w:val="52544188"/>
    <w:rsid w:val="53EB39EC"/>
    <w:rsid w:val="55312E83"/>
    <w:rsid w:val="55CE1987"/>
    <w:rsid w:val="55EF3F6F"/>
    <w:rsid w:val="576363EF"/>
    <w:rsid w:val="58780E48"/>
    <w:rsid w:val="58E62499"/>
    <w:rsid w:val="59647D3E"/>
    <w:rsid w:val="597C685E"/>
    <w:rsid w:val="5A250F91"/>
    <w:rsid w:val="5A6516AD"/>
    <w:rsid w:val="5B8F5673"/>
    <w:rsid w:val="5CC812FA"/>
    <w:rsid w:val="5CCC65F5"/>
    <w:rsid w:val="5DA417E6"/>
    <w:rsid w:val="5E821239"/>
    <w:rsid w:val="5F650D3C"/>
    <w:rsid w:val="60675196"/>
    <w:rsid w:val="61AE7F1D"/>
    <w:rsid w:val="637E1589"/>
    <w:rsid w:val="658E5B8D"/>
    <w:rsid w:val="673B772F"/>
    <w:rsid w:val="686A13AA"/>
    <w:rsid w:val="690F109F"/>
    <w:rsid w:val="697F213B"/>
    <w:rsid w:val="6CA0717C"/>
    <w:rsid w:val="6D657193"/>
    <w:rsid w:val="6F0A3BD3"/>
    <w:rsid w:val="72B3716D"/>
    <w:rsid w:val="73E45411"/>
    <w:rsid w:val="74B84FF6"/>
    <w:rsid w:val="74CF1C9F"/>
    <w:rsid w:val="75F7452C"/>
    <w:rsid w:val="769A561B"/>
    <w:rsid w:val="77D232A2"/>
    <w:rsid w:val="78115854"/>
    <w:rsid w:val="78BB101F"/>
    <w:rsid w:val="78EE0575"/>
    <w:rsid w:val="7BDD1E8F"/>
    <w:rsid w:val="7BF13C4F"/>
    <w:rsid w:val="7C69082B"/>
    <w:rsid w:val="7DDE5540"/>
    <w:rsid w:val="7DE500BC"/>
    <w:rsid w:val="7E1750DA"/>
    <w:rsid w:val="7E8B4C0D"/>
    <w:rsid w:val="7F9D7069"/>
    <w:rsid w:val="7FBE7774"/>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unhideWhenUsed/>
    <w:qFormat/>
    <w:uiPriority w:val="99"/>
    <w:pPr>
      <w:jc w:val="left"/>
    </w:pPr>
  </w:style>
  <w:style w:type="paragraph" w:styleId="3">
    <w:name w:val="Balloon Text"/>
    <w:basedOn w:val="1"/>
    <w:link w:val="15"/>
    <w:unhideWhenUsed/>
    <w:qFormat/>
    <w:uiPriority w:val="99"/>
    <w:rPr>
      <w:sz w:val="18"/>
      <w:szCs w:val="18"/>
    </w:rPr>
  </w:style>
  <w:style w:type="paragraph" w:styleId="4">
    <w:name w:val="footer"/>
    <w:basedOn w:val="1"/>
    <w:link w:val="18"/>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7"/>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9"/>
    <w:unhideWhenUsed/>
    <w:qFormat/>
    <w:uiPriority w:val="99"/>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5">
    <w:name w:val="批注框文本 字符"/>
    <w:link w:val="3"/>
    <w:semiHidden/>
    <w:qFormat/>
    <w:uiPriority w:val="99"/>
    <w:rPr>
      <w:rFonts w:ascii="Times New Roman" w:hAnsi="Times New Roman"/>
      <w:kern w:val="2"/>
      <w:sz w:val="18"/>
      <w:szCs w:val="18"/>
    </w:rPr>
  </w:style>
  <w:style w:type="character" w:customStyle="1" w:styleId="16">
    <w:name w:val="批注文字 字符"/>
    <w:link w:val="2"/>
    <w:semiHidden/>
    <w:qFormat/>
    <w:uiPriority w:val="99"/>
    <w:rPr>
      <w:rFonts w:ascii="Times New Roman" w:hAnsi="Times New Roman"/>
      <w:kern w:val="2"/>
      <w:sz w:val="21"/>
    </w:rPr>
  </w:style>
  <w:style w:type="character" w:customStyle="1" w:styleId="17">
    <w:name w:val="页眉 字符"/>
    <w:link w:val="5"/>
    <w:semiHidden/>
    <w:qFormat/>
    <w:uiPriority w:val="99"/>
    <w:rPr>
      <w:sz w:val="18"/>
      <w:szCs w:val="18"/>
    </w:rPr>
  </w:style>
  <w:style w:type="character" w:customStyle="1" w:styleId="18">
    <w:name w:val="页脚 字符"/>
    <w:link w:val="4"/>
    <w:qFormat/>
    <w:uiPriority w:val="99"/>
    <w:rPr>
      <w:sz w:val="18"/>
      <w:szCs w:val="18"/>
    </w:rPr>
  </w:style>
  <w:style w:type="character" w:customStyle="1" w:styleId="19">
    <w:name w:val="批注主题 字符"/>
    <w:link w:val="7"/>
    <w:semiHidden/>
    <w:qFormat/>
    <w:uiPriority w:val="99"/>
    <w:rPr>
      <w:rFonts w:ascii="Times New Roman" w:hAnsi="Times New Roman"/>
      <w:b/>
      <w:bCs/>
      <w:kern w:val="2"/>
      <w:sz w:val="21"/>
    </w:rPr>
  </w:style>
  <w:style w:type="paragraph" w:customStyle="1" w:styleId="20">
    <w:name w:val="Normal_e3a4be77-0b35-4d95-b8da-af5e8abae09a"/>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13</Pages>
  <Words>18308</Words>
  <Characters>18617</Characters>
  <Lines>133</Lines>
  <Paragraphs>37</Paragraphs>
  <TotalTime>2</TotalTime>
  <ScaleCrop>false</ScaleCrop>
  <LinksUpToDate>false</LinksUpToDate>
  <CharactersWithSpaces>18911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2026-09-18T08:02:35Z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