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20031</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20031</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“金鹿理财-温盈”20031号开放式净值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20031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20031号开放式净值型银行理财计划产品说明书》、《温州银行“金鹿理财-温盈”20031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20031</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温盈”20031号开放式净值型银行理财计划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20031</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YJ2031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C1092220000082</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2020年3月24日</w:t>
            </w:r>
            <w:r>
              <w:rPr>
                <w:rFonts w:hint="eastAsia"/>
                <w:sz w:val="18"/>
                <w:szCs w:val="18"/>
                <w:u w:val="single"/>
              </w:rPr>
              <w:t>至</w:t>
            </w:r>
            <w:r>
              <w:rPr>
                <w:rFonts w:hint="eastAsia"/>
                <w:color w:val="000000"/>
                <w:sz w:val="18"/>
                <w:szCs w:val="18"/>
                <w:u w:val="single"/>
                <w:lang w:val="en-US" w:eastAsia="zh-CN"/>
              </w:rPr>
              <w:t>2020年3月31日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首个投资运作周期的业绩比较基准为4.30%（年化）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本理财计划成立日为2020年4月1日。温州银行有权根据实际募集情况选择产品提前成立，若温州银行采取以上措施，温州银行将就产品相应要素的调整事宜于提前成立日前的一个工作日在温州银行网站予以公告。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182</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182</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《温州银行“金鹿理财-温盈”20031号开放式净值型（第i期）银行理财计划开放认购（申购）申请书》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2.00</w:t>
            </w:r>
            <w:bookmarkStart w:id="0" w:name="_GoBack"/>
            <w:bookmarkEnd w:id="0"/>
            <w:r>
              <w:rPr>
                <w:rFonts w:hint="eastAsia" w:ascii="宋体" w:hAnsi="宋体" w:cs="宋体"/>
                <w:color w:val="000000"/>
                <w:kern w:val="0"/>
                <w:sz w:val="18"/>
                <w:szCs w:val="18"/>
                <w:highlight w:val="none"/>
                <w:lang w:val="en-US" w:eastAsia="zh-CN"/>
              </w:rPr>
              <w:t>%-2.30%</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2026年3月25日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2.15%-2.45%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2026年9月23日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《温州银行“金鹿理财-温盈”20031号开放式净值型（第i期）银行理财计划开放认购（申购）申请书》。投资运作周期到期时，该周期内的资金收益情况根据所投资资产组合的实际运作情况确定。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：本理财计划成立日为2020年4月1日，从成立日起，每</w:t>
      </w:r>
      <w:r>
        <w:rPr>
          <w:rFonts w:ascii="宋体" w:hAnsi="宋体"/>
          <w:sz w:val="18"/>
          <w:highlight w:val="none"/>
        </w:rPr>
        <w:t>【</w:t>
      </w:r>
      <w:r>
        <w:rPr>
          <w:rFonts w:hint="eastAsia" w:ascii="宋体" w:hAnsi="宋体"/>
          <w:color w:val="000000"/>
          <w:sz w:val="18"/>
          <w:highlight w:val="none"/>
        </w:rPr>
        <w:t>182</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182</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本产品预计到期终止日为2030年4月1日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20031号开放式净值型银行理财计划风险揭示书》、《温州银行理财计划合约》、《温州银行“金鹿理财-温盈”20031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s1IKuHiL85IagdJ0V3QZwu+SFE=" w:salt="qhTF/Gl6HMcYlRyUeHAxx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32F04F6"/>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3</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2026-09-11T08:06:35Z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