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普惠月享”</w:t>
      </w:r>
      <w:r>
        <w:rPr>
          <w:rFonts w:hint="eastAsia"/>
          <w:highlight w:val="none"/>
        </w:rPr>
        <w:t xml:space="preserve"> </w:t>
      </w:r>
      <w:r>
        <w:rPr>
          <w:rFonts w:hint="eastAsia"/>
          <w:color w:val="000000"/>
          <w:szCs w:val="21"/>
          <w:highlight w:val="none"/>
          <w:u w:val="single"/>
        </w:rPr>
        <w:t>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“金鹿理财-普惠月享”3号开放式净值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PR2级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月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月享”3号开放式净值型银行理财计划产品说明书》、《温州银行“金鹿理财-普惠月享”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br w:type="page"/>
      </w: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3号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普惠月享”3号开放式净值型银行理财计划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“金鹿理财-普惠月享”</w:t>
            </w:r>
            <w:r>
              <w:rPr>
                <w:rFonts w:hint="eastAsia"/>
                <w:color w:val="000000"/>
                <w:sz w:val="18"/>
                <w:szCs w:val="18"/>
                <w:highlight w:val="none"/>
                <w:u w:val="single"/>
              </w:rPr>
              <w:t>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color w:val="000000"/>
                <w:sz w:val="18"/>
                <w:szCs w:val="18"/>
                <w:highlight w:val="none"/>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int="eastAsia" w:hAnsi="Calibri"/>
                <w:color w:val="000000"/>
                <w:sz w:val="18"/>
                <w:szCs w:val="18"/>
                <w:highlight w:val="none"/>
              </w:rPr>
              <w:t>C1092221000142</w:t>
            </w:r>
          </w:p>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cs="Times New Roman"/>
                <w:sz w:val="18"/>
                <w:szCs w:val="18"/>
                <w:highlight w:val="none"/>
              </w:rPr>
              <w:t>投资</w:t>
            </w:r>
            <w:r>
              <w:rPr>
                <w:rFonts w:hint="eastAsia" w:cs="Times New Roman"/>
                <w:sz w:val="18"/>
                <w:szCs w:val="18"/>
                <w:highlight w:val="none"/>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（申购）期</w:t>
            </w:r>
            <w:r>
              <w:rPr>
                <w:rFonts w:hint="eastAsia" w:cs="Times New Roman"/>
                <w:sz w:val="18"/>
                <w:szCs w:val="18"/>
                <w:highlight w:val="none"/>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2021年5月6日</w:t>
            </w:r>
            <w:r>
              <w:rPr>
                <w:rFonts w:hint="eastAsia"/>
                <w:sz w:val="18"/>
                <w:szCs w:val="18"/>
                <w:u w:val="single"/>
              </w:rPr>
              <w:t>至</w:t>
            </w:r>
            <w:r>
              <w:rPr>
                <w:rFonts w:hint="eastAsia"/>
                <w:color w:val="000000"/>
                <w:sz w:val="18"/>
                <w:szCs w:val="18"/>
                <w:u w:val="single"/>
                <w:lang w:val="en-US" w:eastAsia="zh-CN"/>
              </w:rPr>
              <w:t>2021年5月12日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本理财计划成立日为2021年5月13日。温州银行有权根据实际募集情况选择产品提前成立，若温州银行采取以上措施，温州银行将就产品相应要素的调整事宜于提前成立日前的一个工作日在温州银行网站予以公告。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《温州银行“金鹿理财-普惠月享”3号开放式净值型（第i期）银行理财计划开放认购（申购）申请书》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在本理财产品扣除产品固定管理费（如有）及托管费等各项费用后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b/>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widowControl/>
              <w:jc w:val="center"/>
              <w:rPr>
                <w:rFonts w:hint="eastAsia" w:ascii="宋体" w:hAnsi="宋体" w:cs="宋体"/>
                <w:color w:val="000000"/>
                <w:kern w:val="0"/>
                <w:sz w:val="18"/>
                <w:szCs w:val="18"/>
                <w:highlight w:val="none"/>
                <w:lang w:val="en-US" w:eastAsia="zh-CN"/>
              </w:rPr>
            </w:pPr>
            <w:bookmarkStart w:id="0" w:name="_GoBack"/>
            <w:bookmarkEnd w:id="0"/>
            <w:r>
              <w:rPr>
                <w:rFonts w:hint="eastAsia" w:ascii="宋体" w:hAnsi="宋体" w:cs="宋体"/>
                <w:color w:val="000000"/>
                <w:kern w:val="0"/>
                <w:sz w:val="18"/>
                <w:szCs w:val="18"/>
                <w:highlight w:val="none"/>
                <w:lang w:val="en-US" w:eastAsia="zh-CN"/>
              </w:rPr>
              <w:t>1.75%-2.05%</w:t>
            </w:r>
          </w:p>
        </w:tc>
        <w:tc>
          <w:tcPr>
            <w:tcW w:w="2500" w:type="pct"/>
            <w:noWrap w:val="0"/>
            <w:vAlign w:val="top"/>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2026年6月4日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投资合作机构</w:t>
      </w:r>
    </w:p>
    <w:p>
      <w:pPr>
        <w:adjustRightInd w:val="0"/>
        <w:snapToGrid w:val="0"/>
        <w:spacing w:line="286" w:lineRule="auto"/>
        <w:rPr>
          <w:rFonts w:hint="eastAsia"/>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adjustRightInd w:val="0"/>
        <w:snapToGrid w:val="0"/>
        <w:spacing w:line="286" w:lineRule="auto"/>
        <w:rPr>
          <w:rFonts w:hint="eastAsia"/>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rFonts w:hint="eastAsia"/>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《温州银行“金鹿理财-普惠月享”3号开放式净值型（第i期）银行理财计划开放认购（申购）申请书》。投资运作周期到期时，该周期内的资金收益情况根据所投资资产组合的实际运作情况确定。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：本理财计划成立日为2021年5月13日，从成立日起，每</w:t>
      </w:r>
      <w:r>
        <w:rPr>
          <w:rFonts w:ascii="宋体" w:hAnsi="宋体"/>
          <w:sz w:val="18"/>
          <w:highlight w:val="none"/>
        </w:rPr>
        <w:t>【</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rFonts w:hint="eastAsia"/>
          <w:sz w:val="18"/>
          <w:szCs w:val="18"/>
          <w:highlight w:val="none"/>
        </w:rPr>
      </w:pPr>
      <w:r>
        <w:rPr>
          <w:rFonts w:hint="eastAsia"/>
          <w:sz w:val="18"/>
          <w:szCs w:val="18"/>
          <w:highlight w:val="none"/>
        </w:rPr>
        <w:t>（10）巨额赎回：</w:t>
      </w:r>
    </w:p>
    <w:p>
      <w:pPr>
        <w:adjustRightInd w:val="0"/>
        <w:snapToGrid w:val="0"/>
        <w:spacing w:line="286" w:lineRule="auto"/>
        <w:rPr>
          <w:rFonts w:hint="eastAsia"/>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rFonts w:hint="eastAsia"/>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rFonts w:hint="eastAsia"/>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摆动定价机制</w:t>
      </w:r>
    </w:p>
    <w:p>
      <w:pPr>
        <w:adjustRightInd w:val="0"/>
        <w:snapToGrid w:val="0"/>
        <w:spacing w:line="286" w:lineRule="auto"/>
        <w:rPr>
          <w:rFonts w:hint="eastAsia"/>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rFonts w:hint="eastAsia"/>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rFonts w:hint="eastAsia"/>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highlight w:val="none"/>
        </w:rPr>
      </w:pPr>
      <w:r>
        <w:rPr>
          <w:rFonts w:hint="eastAsia"/>
          <w:sz w:val="18"/>
          <w:szCs w:val="18"/>
          <w:highlight w:val="none"/>
        </w:rPr>
        <w:t>【终止（包括到期终止、提前终止、延期终止）】</w:t>
      </w:r>
    </w:p>
    <w:p>
      <w:pPr>
        <w:adjustRightInd w:val="0"/>
        <w:snapToGrid w:val="0"/>
        <w:spacing w:line="286" w:lineRule="auto"/>
        <w:rPr>
          <w:rFonts w:hint="eastAsia"/>
          <w:bCs/>
          <w:sz w:val="18"/>
          <w:szCs w:val="18"/>
          <w:highlight w:val="none"/>
        </w:rPr>
      </w:pPr>
      <w:r>
        <w:rPr>
          <w:rFonts w:hint="eastAsia"/>
          <w:sz w:val="18"/>
          <w:szCs w:val="18"/>
          <w:highlight w:val="none"/>
        </w:rPr>
        <w:t>本产品预计到期终止日为</w:t>
      </w:r>
      <w:r>
        <w:rPr>
          <w:rFonts w:hint="eastAsia"/>
          <w:color w:val="000000"/>
          <w:sz w:val="18"/>
          <w:highlight w:val="none"/>
        </w:rPr>
        <w:t>2031年5月13日，</w:t>
      </w:r>
      <w:r>
        <w:rPr>
          <w:rFonts w:hint="eastAsia"/>
          <w:bCs/>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w:t>
      </w:r>
      <w:r>
        <w:rPr>
          <w:rFonts w:hint="eastAsia"/>
          <w:sz w:val="18"/>
          <w:szCs w:val="18"/>
          <w:highlight w:val="none"/>
          <w:lang w:val="en-US" w:eastAsia="zh-CN"/>
        </w:rPr>
        <w:t>6</w:t>
      </w:r>
      <w:r>
        <w:rPr>
          <w:rFonts w:hint="eastAsia"/>
          <w:sz w:val="18"/>
          <w:szCs w:val="18"/>
          <w:highlight w:val="none"/>
        </w:rPr>
        <w:t>%（最高），计算方法如下：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注：上述公式中“投资运作周期到期日理财产品总净值”为本理财产品资产在扣除托管费、固定管理费、浮动管理费</w:t>
      </w:r>
      <w:r>
        <w:rPr>
          <w:rFonts w:hint="eastAsia"/>
          <w:sz w:val="18"/>
          <w:szCs w:val="18"/>
          <w:highlight w:val="none"/>
          <w:lang w:eastAsia="zh-CN"/>
        </w:rPr>
        <w:t>、</w:t>
      </w:r>
      <w:r>
        <w:rPr>
          <w:rFonts w:hint="eastAsia"/>
          <w:sz w:val="18"/>
          <w:szCs w:val="18"/>
          <w:highlight w:val="none"/>
        </w:rPr>
        <w:t>税费</w:t>
      </w:r>
      <w:r>
        <w:rPr>
          <w:rFonts w:hint="eastAsia"/>
          <w:sz w:val="18"/>
          <w:szCs w:val="18"/>
          <w:highlight w:val="none"/>
          <w:lang w:val="en-US" w:eastAsia="zh-CN"/>
        </w:rPr>
        <w:t>及</w:t>
      </w:r>
      <w:r>
        <w:rPr>
          <w:rFonts w:hint="eastAsia"/>
          <w:sz w:val="18"/>
          <w:szCs w:val="18"/>
          <w:highlight w:val="none"/>
        </w:rPr>
        <w:t>其他费用等相关费用后计算产生的理财产品总净值。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eastAsia" w:eastAsia="宋体" w:cs="Times New Roman"/>
          <w:sz w:val="18"/>
          <w:szCs w:val="18"/>
          <w:highlight w:val="none"/>
          <w:lang w:val="en-US" w:eastAsia="zh-CN"/>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ascii="宋体" w:hAnsi="宋体"/>
          <w:sz w:val="18"/>
          <w:szCs w:val="18"/>
          <w:highlight w:val="none"/>
        </w:rPr>
        <w:t>7、早偿风险：如温州银行在特定情</w:t>
      </w:r>
      <w:r>
        <w:rPr>
          <w:rFonts w:hint="eastAsia"/>
          <w:sz w:val="18"/>
          <w:szCs w:val="18"/>
          <w:highlight w:val="none"/>
        </w:rPr>
        <w:t>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7"/>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7"/>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月享”3号开放式净值型银行理财计划风险揭示书》、《温州银行理财计划合约》、《温州银行“金鹿理财-普惠月享”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rPr>
          <w:rFonts w:hint="eastAsia"/>
          <w:szCs w:val="30"/>
          <w:highlight w:val="none"/>
        </w:rPr>
      </w:pPr>
    </w:p>
    <w:p>
      <w:pPr>
        <w:pStyle w:val="3"/>
        <w:rPr>
          <w:rFonts w:hint="eastAsia" w:hAnsi="宋体" w:cs="宋体"/>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cUmqrcHJxGzIZHGbBjNlfQGxwE=" w:salt="XWoHBN4dVwLl4V1t0dck/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CF64E1"/>
    <w:rsid w:val="00D04BBF"/>
    <w:rsid w:val="00D57B7B"/>
    <w:rsid w:val="00D645E7"/>
    <w:rsid w:val="00E061C3"/>
    <w:rsid w:val="00EE6835"/>
    <w:rsid w:val="00EF688E"/>
    <w:rsid w:val="00F16861"/>
    <w:rsid w:val="00F27B42"/>
    <w:rsid w:val="00F33BD6"/>
    <w:rsid w:val="00FF044A"/>
    <w:rsid w:val="020B5EE9"/>
    <w:rsid w:val="02A041DE"/>
    <w:rsid w:val="03547EE0"/>
    <w:rsid w:val="03C0209D"/>
    <w:rsid w:val="03DE5DE4"/>
    <w:rsid w:val="05025E75"/>
    <w:rsid w:val="056C5A14"/>
    <w:rsid w:val="06FC0BE5"/>
    <w:rsid w:val="071B22DD"/>
    <w:rsid w:val="07C17B3C"/>
    <w:rsid w:val="08984829"/>
    <w:rsid w:val="093602F7"/>
    <w:rsid w:val="09D23499"/>
    <w:rsid w:val="0A7C3745"/>
    <w:rsid w:val="0A8D3D36"/>
    <w:rsid w:val="0B0417FA"/>
    <w:rsid w:val="0B0F2D67"/>
    <w:rsid w:val="0B2C47E2"/>
    <w:rsid w:val="0B5C245C"/>
    <w:rsid w:val="0BCF2F91"/>
    <w:rsid w:val="0BD9237C"/>
    <w:rsid w:val="0C784606"/>
    <w:rsid w:val="0D8B77C4"/>
    <w:rsid w:val="0DCB6E92"/>
    <w:rsid w:val="0F27086A"/>
    <w:rsid w:val="0FF17FD6"/>
    <w:rsid w:val="11B87CD0"/>
    <w:rsid w:val="12B7519C"/>
    <w:rsid w:val="1452504D"/>
    <w:rsid w:val="149C7002"/>
    <w:rsid w:val="14F447EE"/>
    <w:rsid w:val="15353059"/>
    <w:rsid w:val="15FC5020"/>
    <w:rsid w:val="160D0B3E"/>
    <w:rsid w:val="16620247"/>
    <w:rsid w:val="169E308F"/>
    <w:rsid w:val="178847A7"/>
    <w:rsid w:val="18772FCC"/>
    <w:rsid w:val="187802C2"/>
    <w:rsid w:val="19052EAD"/>
    <w:rsid w:val="1A632B3C"/>
    <w:rsid w:val="1AC872C1"/>
    <w:rsid w:val="1BF4648C"/>
    <w:rsid w:val="1C481872"/>
    <w:rsid w:val="1CC903F3"/>
    <w:rsid w:val="1D2750FD"/>
    <w:rsid w:val="1E5C06AF"/>
    <w:rsid w:val="1EFE0AE6"/>
    <w:rsid w:val="1F833EA5"/>
    <w:rsid w:val="1FF6107E"/>
    <w:rsid w:val="202D51F7"/>
    <w:rsid w:val="212E1DF3"/>
    <w:rsid w:val="212F567F"/>
    <w:rsid w:val="213A7B5D"/>
    <w:rsid w:val="22295B1A"/>
    <w:rsid w:val="23761F39"/>
    <w:rsid w:val="23D70CD9"/>
    <w:rsid w:val="23E313C4"/>
    <w:rsid w:val="23E83A25"/>
    <w:rsid w:val="24533EA6"/>
    <w:rsid w:val="248F0487"/>
    <w:rsid w:val="257B138A"/>
    <w:rsid w:val="25CB5C91"/>
    <w:rsid w:val="25D76830"/>
    <w:rsid w:val="2610713C"/>
    <w:rsid w:val="266F2F1B"/>
    <w:rsid w:val="26723EA0"/>
    <w:rsid w:val="27B04BAD"/>
    <w:rsid w:val="27EC118E"/>
    <w:rsid w:val="28B766F6"/>
    <w:rsid w:val="299B7AA8"/>
    <w:rsid w:val="29EE1BB2"/>
    <w:rsid w:val="2A4A2CA1"/>
    <w:rsid w:val="2BA97CAA"/>
    <w:rsid w:val="2BBA7BCA"/>
    <w:rsid w:val="2C0D236A"/>
    <w:rsid w:val="2CAE1C8E"/>
    <w:rsid w:val="2D0E5B68"/>
    <w:rsid w:val="2DE32096"/>
    <w:rsid w:val="2EA2488C"/>
    <w:rsid w:val="30224607"/>
    <w:rsid w:val="30EE573B"/>
    <w:rsid w:val="3137458B"/>
    <w:rsid w:val="320E50AB"/>
    <w:rsid w:val="323971F4"/>
    <w:rsid w:val="338E37D0"/>
    <w:rsid w:val="345352E6"/>
    <w:rsid w:val="34C20E1D"/>
    <w:rsid w:val="34D80DC2"/>
    <w:rsid w:val="351E2469"/>
    <w:rsid w:val="35642AE8"/>
    <w:rsid w:val="35D2474F"/>
    <w:rsid w:val="36D65DF6"/>
    <w:rsid w:val="371B2546"/>
    <w:rsid w:val="382C36DD"/>
    <w:rsid w:val="3B5A356F"/>
    <w:rsid w:val="3C390952"/>
    <w:rsid w:val="3CEA4F7F"/>
    <w:rsid w:val="3DCD0356"/>
    <w:rsid w:val="3DE67AF3"/>
    <w:rsid w:val="3E1D64F1"/>
    <w:rsid w:val="3E7B660F"/>
    <w:rsid w:val="3EE00E01"/>
    <w:rsid w:val="3F5575F7"/>
    <w:rsid w:val="40AF14BC"/>
    <w:rsid w:val="41263FEF"/>
    <w:rsid w:val="42C22B17"/>
    <w:rsid w:val="4343436A"/>
    <w:rsid w:val="4355536E"/>
    <w:rsid w:val="443479B1"/>
    <w:rsid w:val="458B49FF"/>
    <w:rsid w:val="45C070A6"/>
    <w:rsid w:val="46027119"/>
    <w:rsid w:val="46F17C65"/>
    <w:rsid w:val="484C5B1A"/>
    <w:rsid w:val="48567BBA"/>
    <w:rsid w:val="485B78C5"/>
    <w:rsid w:val="48A849E0"/>
    <w:rsid w:val="491C4520"/>
    <w:rsid w:val="4ABB5C68"/>
    <w:rsid w:val="4B26325B"/>
    <w:rsid w:val="4B28675E"/>
    <w:rsid w:val="4B771C09"/>
    <w:rsid w:val="4BF95C84"/>
    <w:rsid w:val="4DBF3E19"/>
    <w:rsid w:val="4EBC6227"/>
    <w:rsid w:val="4F8F1E96"/>
    <w:rsid w:val="508C311D"/>
    <w:rsid w:val="50D73FB8"/>
    <w:rsid w:val="50D83132"/>
    <w:rsid w:val="514A5C15"/>
    <w:rsid w:val="51D442CE"/>
    <w:rsid w:val="525E4232"/>
    <w:rsid w:val="54161E94"/>
    <w:rsid w:val="54565FE6"/>
    <w:rsid w:val="5526593F"/>
    <w:rsid w:val="56920343"/>
    <w:rsid w:val="56CF7EF9"/>
    <w:rsid w:val="56FF526B"/>
    <w:rsid w:val="57342A46"/>
    <w:rsid w:val="57B36157"/>
    <w:rsid w:val="58E666C9"/>
    <w:rsid w:val="591C475B"/>
    <w:rsid w:val="5A165757"/>
    <w:rsid w:val="5A6A0A65"/>
    <w:rsid w:val="5A9D4737"/>
    <w:rsid w:val="5AB37B5F"/>
    <w:rsid w:val="5C8B611E"/>
    <w:rsid w:val="5EFE2025"/>
    <w:rsid w:val="5F374E45"/>
    <w:rsid w:val="5F6C789E"/>
    <w:rsid w:val="5FCF576E"/>
    <w:rsid w:val="60572D1E"/>
    <w:rsid w:val="612F605E"/>
    <w:rsid w:val="617D113F"/>
    <w:rsid w:val="617F1CC1"/>
    <w:rsid w:val="623F19A8"/>
    <w:rsid w:val="637F3959"/>
    <w:rsid w:val="63D11331"/>
    <w:rsid w:val="65F364D3"/>
    <w:rsid w:val="6697375D"/>
    <w:rsid w:val="672C3A8F"/>
    <w:rsid w:val="677D1368"/>
    <w:rsid w:val="680C51C5"/>
    <w:rsid w:val="6836320A"/>
    <w:rsid w:val="69025DD5"/>
    <w:rsid w:val="69067839"/>
    <w:rsid w:val="6A043AAB"/>
    <w:rsid w:val="6AD461D9"/>
    <w:rsid w:val="6BE31711"/>
    <w:rsid w:val="6C0947C3"/>
    <w:rsid w:val="6CC30793"/>
    <w:rsid w:val="6D1F5B6D"/>
    <w:rsid w:val="6D2978FF"/>
    <w:rsid w:val="6D482330"/>
    <w:rsid w:val="6E5349F2"/>
    <w:rsid w:val="6F5F24DC"/>
    <w:rsid w:val="6FDC6A13"/>
    <w:rsid w:val="702D697E"/>
    <w:rsid w:val="70DB30B2"/>
    <w:rsid w:val="71A27B41"/>
    <w:rsid w:val="732C6CB8"/>
    <w:rsid w:val="74340D56"/>
    <w:rsid w:val="746E15DF"/>
    <w:rsid w:val="74D05231"/>
    <w:rsid w:val="762B48EB"/>
    <w:rsid w:val="77303E4B"/>
    <w:rsid w:val="77417B54"/>
    <w:rsid w:val="77974C69"/>
    <w:rsid w:val="77A93C87"/>
    <w:rsid w:val="77B8632A"/>
    <w:rsid w:val="7947704C"/>
    <w:rsid w:val="796C6C45"/>
    <w:rsid w:val="79B03FA7"/>
    <w:rsid w:val="7A424B1B"/>
    <w:rsid w:val="7ABE4794"/>
    <w:rsid w:val="7ADC5262"/>
    <w:rsid w:val="7B517115"/>
    <w:rsid w:val="7C245B74"/>
    <w:rsid w:val="7C3073CD"/>
    <w:rsid w:val="7C786754"/>
    <w:rsid w:val="7CE422D7"/>
    <w:rsid w:val="7D261F6B"/>
    <w:rsid w:val="7DAB46BB"/>
    <w:rsid w:val="7EDF28B4"/>
    <w:rsid w:val="7F0972B7"/>
    <w:rsid w:val="7F461BB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eastAsia="宋体" w:cs="Courier New"/>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rFonts w:ascii="Times New Roman" w:hAnsi="Times New Roman"/>
      <w:kern w:val="2"/>
      <w:sz w:val="18"/>
      <w:szCs w:val="18"/>
    </w:rPr>
  </w:style>
  <w:style w:type="character" w:customStyle="1" w:styleId="13">
    <w:name w:val="页脚 字符"/>
    <w:link w:val="5"/>
    <w:semiHidden/>
    <w:qFormat/>
    <w:uiPriority w:val="99"/>
    <w:rPr>
      <w:rFonts w:ascii="Times New Roman" w:hAnsi="Times New Roman" w:eastAsia="宋体" w:cs="Times New Roman"/>
      <w:sz w:val="18"/>
      <w:szCs w:val="18"/>
    </w:rPr>
  </w:style>
  <w:style w:type="character" w:customStyle="1" w:styleId="14">
    <w:name w:val="页眉 字符"/>
    <w:link w:val="6"/>
    <w:qFormat/>
    <w:uiPriority w:val="99"/>
    <w:rPr>
      <w:rFonts w:ascii="Times New Roman" w:hAnsi="Times New Roman"/>
      <w:kern w:val="2"/>
      <w:sz w:val="18"/>
      <w:szCs w:val="18"/>
    </w:rPr>
  </w:style>
  <w:style w:type="character" w:customStyle="1" w:styleId="15">
    <w:name w:val="页脚 Char"/>
    <w:qFormat/>
    <w:uiPriority w:val="99"/>
    <w:rPr>
      <w:sz w:val="18"/>
      <w:szCs w:val="18"/>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7">
    <w:name w:val="List Paragraph"/>
    <w:basedOn w:val="1"/>
    <w:qFormat/>
    <w:uiPriority w:val="34"/>
    <w:pPr>
      <w:widowControl/>
      <w:ind w:firstLine="420"/>
    </w:pPr>
    <w:rPr>
      <w:rFonts w:ascii="Calibri" w:hAnsi="Calibri" w:cs="宋体"/>
      <w:kern w:val="0"/>
      <w:szCs w:val="21"/>
    </w:rPr>
  </w:style>
  <w:style w:type="paragraph" w:customStyle="1" w:styleId="18">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9368</Words>
  <Characters>9496</Characters>
  <Lines>135</Lines>
  <Paragraphs>38</Paragraphs>
  <TotalTime>4</TotalTime>
  <ScaleCrop>false</ScaleCrop>
  <LinksUpToDate>false</LinksUpToDate>
  <CharactersWithSpaces>9744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2026-09-11T08:24:38Z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544555F28B4040ABAAFD56798897E752_13</vt:lpwstr>
  </property>
  <property fmtid="{D5CDD505-2E9C-101B-9397-08002B2CF9AE}" pid="4" name="KSOTemplateDocerSaveRecord">
    <vt:lpwstr>eyJoZGlkIjoiZWNlNjU5NjliMTgyYzBmZjRiNGFhMjFmOTUwYjlmZDgiLCJ1c2VySWQiOiIzOTQzMjAxMTgifQ==</vt:lpwstr>
  </property>
</Properties>
</file>