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highlight w:val="none"/>
        </w:rPr>
      </w:pPr>
      <w:bookmarkStart w:id="0" w:name="_GoBack"/>
      <w:bookmarkEnd w:id="0"/>
      <w:r>
        <w:rPr>
          <w:rFonts w:hint="eastAsia" w:ascii="黑体" w:eastAsia="黑体"/>
          <w:sz w:val="30"/>
          <w:szCs w:val="30"/>
          <w:highlight w:val="none"/>
        </w:rPr>
        <w:t xml:space="preserve"> 温州银行“金鹿理财-小Hi钱包”</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22"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19"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，请在购买该理财产品前特别注意以下事项：</w:t>
      </w:r>
    </w:p>
    <w:p>
      <w:pPr>
        <w:adjustRightInd w:val="0"/>
        <w:snapToGrid w:val="0"/>
        <w:spacing w:line="312"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您将购买的温州银行“金鹿理财</w:t>
      </w:r>
      <w:r>
        <w:rPr>
          <w:rFonts w:hint="eastAsia" w:ascii="宋体" w:hAnsi="宋体"/>
          <w:szCs w:val="21"/>
          <w:highlight w:val="none"/>
        </w:rPr>
        <w:t>-</w:t>
      </w:r>
      <w:r>
        <w:rPr>
          <w:rFonts w:hint="eastAsia"/>
          <w:szCs w:val="21"/>
          <w:highlight w:val="none"/>
        </w:rPr>
        <w:t>小Hi钱包”开放式净值型银行理财计划，投资类型属于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，在产品存续期内不定期开放资金认购、申购及赎回。</w:t>
      </w:r>
      <w:r>
        <w:rPr>
          <w:rFonts w:hint="eastAsia"/>
          <w:b/>
          <w:bCs/>
          <w:szCs w:val="21"/>
          <w:highlight w:val="none"/>
        </w:rPr>
        <w:t>根据温</w:t>
      </w:r>
      <w:r>
        <w:rPr>
          <w:rFonts w:hint="eastAsia" w:ascii="宋体" w:hAnsi="宋体"/>
          <w:b/>
          <w:bCs/>
          <w:szCs w:val="21"/>
          <w:highlight w:val="none"/>
        </w:rPr>
        <w:t>州银行内部风险评级标准，该产品的风险等级为</w:t>
      </w:r>
      <w:r>
        <w:rPr>
          <w:rFonts w:hint="eastAsia" w:ascii="宋体" w:hAnsi="宋体"/>
          <w:b/>
          <w:bCs/>
          <w:szCs w:val="21"/>
          <w:highlight w:val="none"/>
          <w:u w:val="single"/>
        </w:rPr>
        <w:t>PR2级</w:t>
      </w:r>
      <w:r>
        <w:rPr>
          <w:rFonts w:hint="eastAsia" w:ascii="宋体" w:hAnsi="宋体"/>
          <w:b/>
          <w:bCs/>
          <w:szCs w:val="21"/>
          <w:highlight w:val="none"/>
        </w:rPr>
        <w:t>（稳健型）：总体风险程度较低，银行不承诺本金保障，产品收益随投资表现变动。业绩比较基准</w:t>
      </w:r>
      <w:r>
        <w:rPr>
          <w:rFonts w:hint="eastAsia" w:ascii="宋体" w:hAnsi="宋体"/>
          <w:b/>
          <w:bCs/>
          <w:szCs w:val="21"/>
          <w:highlight w:val="none"/>
          <w:lang w:val="en-US" w:eastAsia="zh-CN"/>
        </w:rPr>
        <w:t>/过往业绩</w:t>
      </w:r>
      <w:r>
        <w:rPr>
          <w:rFonts w:hint="eastAsia" w:ascii="宋体" w:hAnsi="宋体"/>
          <w:b/>
          <w:bCs/>
          <w:szCs w:val="21"/>
          <w:highlight w:val="none"/>
        </w:rPr>
        <w:t>不是预期收益率，不代表产品的未来表现和实际收益，不构成对产品收益的承诺</w:t>
      </w:r>
      <w:r>
        <w:rPr>
          <w:rFonts w:hint="eastAsia" w:ascii="宋体" w:hAnsi="宋体"/>
          <w:b/>
          <w:bCs/>
          <w:szCs w:val="21"/>
          <w:highlight w:val="none"/>
          <w:lang w:eastAsia="zh-CN"/>
        </w:rPr>
        <w:t>。</w:t>
      </w:r>
      <w:r>
        <w:rPr>
          <w:rFonts w:hint="eastAsia" w:ascii="宋体" w:hAnsi="宋体"/>
          <w:szCs w:val="21"/>
          <w:highlight w:val="none"/>
        </w:rPr>
        <w:t>本理财产品适合客户：经温州银行评估为稳健型、平衡型、进取型、激进型的个人投资者，以及机构投资者。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三、本风险揭示书及《温州银行“金鹿理财-小Hi钱包”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小Hi钱包”开放式净值型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12"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12" w:lineRule="auto"/>
        <w:rPr>
          <w:b/>
          <w:szCs w:val="21"/>
          <w:highlight w:val="none"/>
        </w:rPr>
      </w:pPr>
      <w:r>
        <w:rPr>
          <w:rFonts w:hint="eastAsia"/>
          <w:b/>
          <w:szCs w:val="21"/>
          <w:highlight w:val="none"/>
        </w:rPr>
        <w:t>本人</w:t>
      </w:r>
      <w:r>
        <w:rPr>
          <w:rFonts w:hint="eastAsia"/>
          <w:b/>
          <w:szCs w:val="21"/>
          <w:highlight w:val="none"/>
          <w:lang w:val="en-US" w:eastAsia="zh-CN"/>
        </w:rPr>
        <w:t>/本机构</w:t>
      </w:r>
      <w:r>
        <w:rPr>
          <w:rFonts w:hint="eastAsia"/>
          <w:b/>
          <w:szCs w:val="21"/>
          <w:highlight w:val="none"/>
        </w:rPr>
        <w:t>经温州银行评估的风险承受能力等级为：</w:t>
      </w:r>
    </w:p>
    <w:p>
      <w:pPr>
        <w:adjustRightInd w:val="0"/>
        <w:snapToGrid w:val="0"/>
        <w:spacing w:line="312"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12" w:lineRule="auto"/>
        <w:rPr>
          <w:rFonts w:ascii="宋体" w:hAnsi="宋体"/>
          <w:b/>
          <w:szCs w:val="21"/>
          <w:highlight w:val="none"/>
        </w:rPr>
      </w:pPr>
      <w:r>
        <w:rPr>
          <w:rFonts w:hint="eastAsia" w:ascii="宋体" w:hAnsi="宋体"/>
          <w:b/>
          <w:szCs w:val="21"/>
          <w:highlight w:val="none"/>
        </w:rPr>
        <w:t>本人</w:t>
      </w:r>
      <w:r>
        <w:rPr>
          <w:rFonts w:hint="eastAsia"/>
          <w:b/>
          <w:szCs w:val="21"/>
          <w:highlight w:val="none"/>
        </w:rPr>
        <w:t>/本机构</w:t>
      </w:r>
      <w:r>
        <w:rPr>
          <w:rFonts w:hint="eastAsia" w:ascii="宋体" w:hAnsi="宋体"/>
          <w:b/>
          <w:szCs w:val="21"/>
          <w:highlight w:val="none"/>
        </w:rPr>
        <w:t>同时确认如下：</w:t>
      </w:r>
      <w:r>
        <w:rPr>
          <w:rFonts w:hint="eastAsia" w:ascii="宋体" w:hAnsi="宋体"/>
          <w:b/>
          <w:szCs w:val="21"/>
          <w:highlight w:val="none"/>
          <w:u w:val="single"/>
        </w:rPr>
        <w:t xml:space="preserve">                                                                    </w:t>
      </w:r>
    </w:p>
    <w:p>
      <w:pPr>
        <w:adjustRightInd w:val="0"/>
        <w:snapToGrid w:val="0"/>
        <w:spacing w:line="312"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12" w:lineRule="auto"/>
        <w:rPr>
          <w:szCs w:val="21"/>
          <w:highlight w:val="none"/>
        </w:rPr>
      </w:pPr>
      <w:r>
        <w:rPr>
          <w:rFonts w:hint="eastAsia"/>
          <w:szCs w:val="21"/>
          <w:highlight w:val="none"/>
        </w:rPr>
        <w:t>（客户需全文抄录以下文字以完成确认：“</w:t>
      </w:r>
      <w:r>
        <w:rPr>
          <w:rFonts w:hint="eastAsia"/>
          <w:b/>
          <w:szCs w:val="21"/>
          <w:highlight w:val="none"/>
        </w:rPr>
        <w:t>本人/本机构已经阅读上述风险提示，愿意承担投资风险</w:t>
      </w:r>
      <w:r>
        <w:rPr>
          <w:rFonts w:hint="eastAsia"/>
          <w:szCs w:val="21"/>
          <w:highlight w:val="none"/>
        </w:rPr>
        <w:t>”。）</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个人投资者（签字）：</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机构投资者（盖章）：</w:t>
      </w:r>
    </w:p>
    <w:p>
      <w:pPr>
        <w:adjustRightInd w:val="0"/>
        <w:snapToGrid w:val="0"/>
        <w:spacing w:line="312" w:lineRule="auto"/>
        <w:jc w:val="left"/>
        <w:rPr>
          <w:rFonts w:hint="eastAsia" w:ascii="宋体" w:hAnsi="宋体"/>
          <w:szCs w:val="21"/>
          <w:highlight w:val="none"/>
        </w:rPr>
      </w:pPr>
      <w:r>
        <w:rPr>
          <w:rFonts w:hint="eastAsia" w:ascii="宋体" w:hAnsi="宋体"/>
          <w:szCs w:val="21"/>
          <w:highlight w:val="none"/>
        </w:rPr>
        <w:t xml:space="preserve">机构投资者法定代表人或授权代表（签名或盖章）：                            </w:t>
      </w:r>
    </w:p>
    <w:p>
      <w:pPr>
        <w:adjustRightInd w:val="0"/>
        <w:snapToGrid w:val="0"/>
        <w:spacing w:line="312" w:lineRule="auto"/>
        <w:jc w:val="right"/>
        <w:rPr>
          <w:rFonts w:hint="eastAsia" w:ascii="宋体" w:hAnsi="宋体"/>
          <w:szCs w:val="21"/>
          <w:highlight w:val="none"/>
        </w:rPr>
      </w:pPr>
      <w:r>
        <w:rPr>
          <w:rFonts w:hint="eastAsia" w:ascii="宋体" w:hAnsi="宋体"/>
          <w:szCs w:val="21"/>
          <w:highlight w:val="none"/>
        </w:rPr>
        <w:t>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hint="eastAsia" w:ascii="黑体" w:eastAsia="黑体"/>
          <w:sz w:val="30"/>
          <w:szCs w:val="30"/>
          <w:highlight w:val="none"/>
        </w:rPr>
      </w:pPr>
      <w:r>
        <w:rPr>
          <w:rFonts w:hint="eastAsia" w:ascii="黑体" w:eastAsia="黑体"/>
          <w:sz w:val="30"/>
          <w:szCs w:val="30"/>
          <w:highlight w:val="none"/>
        </w:rPr>
        <w:t>温州银行“金鹿理财-小Hi钱包”</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小Hi钱包”开放式净值型银行理财计划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7"/>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wrap="square" upright="1"/>
                    </wps:wsp>
                  </a:graphicData>
                </a:graphic>
              </wp:anchor>
            </w:drawing>
          </mc:Choice>
          <mc:Fallback>
            <w:pict>
              <v:shape id="_x0000_s1026"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BJ6N7M2QAAAAgBAAAPAAAAAAAAAAEA&#10;IAAAACIAAABkcnMvZG93bnJldi54bWxQSwECFAAUAAAACACHTuJAkC1QttUBAACgAwAADgAAAAAA&#10;AAABACAAAAAoAQAAZHJzL2Uyb0RvYy54bWxQSwUGAAAAAAYABgBZAQAAbwU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highlight w:val="none"/>
        </w:rPr>
        <mc:AlternateContent>
          <mc:Choice Requires="wpg">
            <w:drawing>
              <wp:inline distT="0" distB="0" distL="114300" distR="114300">
                <wp:extent cx="3929380" cy="1896110"/>
                <wp:effectExtent l="0" t="0" r="762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wrap="square"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upright="1"/>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upright="1"/>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“金鹿理财-小Hi钱包”开放式净值型银行理财计划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H00001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C1092221000157</w:t>
            </w:r>
          </w:p>
          <w:p>
            <w:pPr>
              <w:pStyle w:val="14"/>
              <w:adjustRightInd w:val="0"/>
              <w:snapToGrid w:val="0"/>
              <w:spacing w:before="0" w:beforeAutospacing="0" w:after="0" w:afterAutospacing="0" w:line="288" w:lineRule="auto"/>
              <w:jc w:val="center"/>
              <w:rPr>
                <w:rFonts w:hint="eastAsia" w:hAnsi="Calibri"/>
                <w:sz w:val="18"/>
                <w:szCs w:val="18"/>
                <w:highlight w:val="none"/>
              </w:rPr>
            </w:pPr>
            <w:r>
              <w:rPr>
                <w:rFonts w:hAnsi="Calibri"/>
                <w:sz w:val="18"/>
                <w:szCs w:val="18"/>
                <w:highlight w:val="none"/>
              </w:rPr>
              <w:t xml:space="preserve"> (投资者可登录中国理财网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100亿份，产品认购期发行规模不超过5亿份。若产品发行规模超出上限，银行有权暂停接受认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sz w:val="18"/>
                <w:szCs w:val="18"/>
                <w:highlight w:val="none"/>
                <w:u w:val="single"/>
              </w:rPr>
              <w:t>2021年6月3日至2021年6月7日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sz w:val="18"/>
                <w:szCs w:val="18"/>
                <w:highlight w:val="none"/>
              </w:rPr>
              <w:t>本理财计划成立日为2021年6月8日。温州银行有权根据实际募集情况选择产品提前成立，若温州银行采取以上措施，温州银行将就产品相应要素的调整事宜于提前成立日前的一个工作日在温州银行网站予以公告。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封闭期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2021年6月8日至2021年7月4日，封闭期内不受理申购赎回申请。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开放期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kern w:val="0"/>
                <w:sz w:val="18"/>
                <w:highlight w:val="none"/>
              </w:rPr>
            </w:pPr>
            <w:r>
              <w:rPr>
                <w:rFonts w:hint="eastAsia"/>
                <w:sz w:val="18"/>
                <w:szCs w:val="18"/>
                <w:highlight w:val="none"/>
              </w:rPr>
              <w:t>本理财产品自封闭期结束次日起每个</w:t>
            </w:r>
            <w:r>
              <w:rPr>
                <w:rFonts w:hint="eastAsia"/>
                <w:sz w:val="18"/>
                <w:szCs w:val="18"/>
                <w:highlight w:val="none"/>
                <w:lang w:val="en-US" w:eastAsia="zh-CN"/>
              </w:rPr>
              <w:t>交易日</w:t>
            </w:r>
            <w:r>
              <w:rPr>
                <w:rFonts w:hint="eastAsia"/>
                <w:sz w:val="18"/>
                <w:szCs w:val="18"/>
                <w:highlight w:val="none"/>
              </w:rPr>
              <w:t>开放申购与赎回，直至提前终止日（如有）前两个</w:t>
            </w:r>
            <w:r>
              <w:rPr>
                <w:rFonts w:hint="eastAsia"/>
                <w:sz w:val="18"/>
                <w:szCs w:val="18"/>
                <w:highlight w:val="none"/>
                <w:lang w:val="en-US" w:eastAsia="zh-CN"/>
              </w:rPr>
              <w:t>交易日</w:t>
            </w:r>
            <w:r>
              <w:rPr>
                <w:rFonts w:hint="eastAsia"/>
                <w:sz w:val="18"/>
                <w:szCs w:val="18"/>
                <w:highlight w:val="none"/>
              </w:rPr>
              <w:t>结束。投资者可在开放期的工作时间内提交申购和赎回申请，交易申请将在交易受理的下一</w:t>
            </w:r>
            <w:r>
              <w:rPr>
                <w:rFonts w:hint="eastAsia"/>
                <w:sz w:val="18"/>
                <w:szCs w:val="18"/>
                <w:highlight w:val="none"/>
                <w:lang w:val="en-US" w:eastAsia="zh-CN"/>
              </w:rPr>
              <w:t>交易日</w:t>
            </w:r>
            <w:r>
              <w:rPr>
                <w:rFonts w:hint="eastAsia"/>
                <w:sz w:val="18"/>
                <w:szCs w:val="18"/>
                <w:highlight w:val="none"/>
              </w:rPr>
              <w:t>确认。温州银行有权根据理财产品申购和运作情况，调整开放期，暂停受理交易申请。温州银行如调整开放期，暂停受理交易申请，将至少提前1个工作日通过温州银行网站或营业网点进行公告。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sz w:val="18"/>
                <w:szCs w:val="18"/>
                <w:highlight w:val="none"/>
              </w:rPr>
            </w:pPr>
            <w:r>
              <w:rPr>
                <w:rFonts w:ascii="宋体" w:hAnsi="宋体"/>
                <w:kern w:val="0"/>
                <w:sz w:val="18"/>
                <w:highlight w:val="none"/>
              </w:rPr>
              <w:t>本理财</w:t>
            </w:r>
            <w:r>
              <w:rPr>
                <w:rFonts w:hint="eastAsia" w:ascii="宋体" w:hAnsi="宋体"/>
                <w:kern w:val="0"/>
                <w:sz w:val="18"/>
                <w:highlight w:val="none"/>
              </w:rPr>
              <w:t>计划无固定到期日</w:t>
            </w:r>
            <w:r>
              <w:rPr>
                <w:rFonts w:ascii="宋体" w:hAnsi="宋体"/>
                <w:kern w:val="0"/>
                <w:sz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highlight w:val="none"/>
              </w:rPr>
            </w:pPr>
            <w:r>
              <w:rPr>
                <w:rFonts w:hint="eastAsia" w:ascii="宋体" w:hAnsi="宋体"/>
                <w:sz w:val="18"/>
                <w:highlight w:val="none"/>
              </w:rPr>
              <w:t>认购（申购）起点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highlight w:val="none"/>
              </w:rPr>
            </w:pPr>
            <w:r>
              <w:rPr>
                <w:rFonts w:hint="eastAsia" w:ascii="宋体" w:hAnsi="宋体"/>
                <w:sz w:val="18"/>
                <w:highlight w:val="none"/>
              </w:rPr>
              <w:t>首次投资最低金额为</w:t>
            </w:r>
            <w:r>
              <w:rPr>
                <w:rFonts w:ascii="宋体" w:hAnsi="宋体"/>
                <w:sz w:val="18"/>
                <w:highlight w:val="none"/>
              </w:rPr>
              <w:t>1</w:t>
            </w:r>
            <w:r>
              <w:rPr>
                <w:rFonts w:hint="eastAsia" w:ascii="宋体" w:hAnsi="宋体"/>
                <w:sz w:val="18"/>
                <w:highlight w:val="none"/>
              </w:rPr>
              <w:t>万元；超出首次投资最低金额部分，须为</w:t>
            </w:r>
            <w:r>
              <w:rPr>
                <w:rFonts w:ascii="宋体" w:hAnsi="宋体"/>
                <w:sz w:val="18"/>
                <w:highlight w:val="none"/>
              </w:rPr>
              <w:t>1</w:t>
            </w:r>
            <w:r>
              <w:rPr>
                <w:rFonts w:hint="eastAsia" w:ascii="宋体" w:hAnsi="宋体"/>
                <w:sz w:val="18"/>
                <w:highlight w:val="none"/>
              </w:rPr>
              <w:t>千元或</w:t>
            </w:r>
            <w:r>
              <w:rPr>
                <w:rFonts w:ascii="宋体" w:hAnsi="宋体"/>
                <w:sz w:val="18"/>
                <w:highlight w:val="none"/>
              </w:rPr>
              <w:t>1</w:t>
            </w:r>
            <w:r>
              <w:rPr>
                <w:rFonts w:hint="eastAsia" w:ascii="宋体" w:hAnsi="宋体"/>
                <w:sz w:val="18"/>
                <w:highlight w:val="none"/>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w:t>
            </w:r>
            <w:r>
              <w:rPr>
                <w:rFonts w:hint="eastAsia" w:ascii="宋体" w:hAnsi="宋体"/>
                <w:sz w:val="18"/>
                <w:highlight w:val="none"/>
                <w:lang w:val="en-US" w:eastAsia="zh-CN"/>
              </w:rPr>
              <w:t>持有份额不超过100</w:t>
            </w:r>
            <w:r>
              <w:rPr>
                <w:rFonts w:hint="eastAsia" w:ascii="宋体" w:hAnsi="宋体"/>
                <w:sz w:val="18"/>
                <w:highlight w:val="none"/>
              </w:rPr>
              <w:t>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认购份额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申购份额</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highlight w:val="none"/>
              </w:rPr>
            </w:pPr>
            <w:r>
              <w:rPr>
                <w:rFonts w:hint="eastAsia"/>
                <w:sz w:val="18"/>
                <w:szCs w:val="18"/>
                <w:highlight w:val="none"/>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赎回金额的计算</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6" w:lineRule="auto"/>
              <w:jc w:val="center"/>
              <w:rPr>
                <w:rFonts w:hint="eastAsia"/>
                <w:sz w:val="18"/>
                <w:szCs w:val="18"/>
                <w:highlight w:val="none"/>
              </w:rPr>
            </w:pPr>
            <w:r>
              <w:rPr>
                <w:rFonts w:hint="eastAsia"/>
                <w:sz w:val="18"/>
                <w:szCs w:val="18"/>
                <w:highlight w:val="none"/>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业绩比较基准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lang w:val="en-US" w:eastAsia="zh-CN"/>
              </w:rPr>
              <w:t>1.25%-1.95%</w:t>
            </w:r>
            <w:r>
              <w:rPr>
                <w:rFonts w:hint="eastAsia" w:cs="Times New Roman"/>
                <w:sz w:val="18"/>
                <w:szCs w:val="18"/>
                <w:highlight w:val="none"/>
              </w:rPr>
              <w:t>（年化）</w:t>
            </w:r>
          </w:p>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若本理财产品扣除产品固定管理费及托管费等各项费用后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hint="eastAsia" w:cs="Times New Roman"/>
                <w:sz w:val="18"/>
                <w:szCs w:val="18"/>
                <w:highlight w:val="none"/>
              </w:rPr>
            </w:pPr>
            <w:r>
              <w:rPr>
                <w:rFonts w:hint="eastAsia" w:cs="Times New Roman"/>
                <w:sz w:val="18"/>
                <w:szCs w:val="18"/>
                <w:highlight w:val="none"/>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6"/>
              <w:widowControl/>
              <w:spacing w:before="100" w:beforeAutospacing="1" w:after="100" w:afterAutospacing="1"/>
              <w:rPr>
                <w:rFonts w:hint="eastAsia"/>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lang w:val="en-US" w:eastAsia="zh-CN"/>
              </w:rPr>
              <w:t>交易</w:t>
            </w:r>
            <w:r>
              <w:rPr>
                <w:rFonts w:hint="eastAsia"/>
                <w:sz w:val="18"/>
                <w:szCs w:val="18"/>
                <w:highlight w:val="none"/>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hint="eastAsia" w:eastAsia="宋体"/>
                <w:sz w:val="18"/>
                <w:szCs w:val="18"/>
                <w:highlight w:val="none"/>
                <w:lang w:val="en-US" w:eastAsia="zh-CN"/>
              </w:rPr>
            </w:pPr>
            <w:r>
              <w:rPr>
                <w:rFonts w:hint="eastAsia"/>
                <w:sz w:val="18"/>
                <w:szCs w:val="18"/>
                <w:highlight w:val="none"/>
                <w:lang w:val="en-US" w:eastAsia="zh-CN"/>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hint="eastAsia"/>
                <w:sz w:val="18"/>
                <w:szCs w:val="18"/>
                <w:highlight w:val="none"/>
              </w:rPr>
            </w:pPr>
            <w:r>
              <w:rPr>
                <w:rFonts w:hint="eastAsia"/>
                <w:sz w:val="18"/>
                <w:szCs w:val="18"/>
                <w:highlight w:val="none"/>
                <w:lang w:val="en-US" w:eastAsia="zh-CN"/>
              </w:rPr>
              <w:t>指除国家法定节假日和公休日外的其他日期。</w:t>
            </w:r>
            <w:r>
              <w:rPr>
                <w:rFonts w:hint="eastAsia"/>
                <w:sz w:val="18"/>
                <w:szCs w:val="18"/>
                <w:highlight w:val="none"/>
              </w:rPr>
              <w:t>本理财产品说明书所述之日期如遇</w:t>
            </w:r>
            <w:r>
              <w:rPr>
                <w:rFonts w:hint="eastAsia"/>
                <w:sz w:val="18"/>
                <w:szCs w:val="18"/>
                <w:highlight w:val="none"/>
                <w:lang w:val="en-US" w:eastAsia="zh-CN"/>
              </w:rPr>
              <w:t>非工作日</w:t>
            </w:r>
            <w:r>
              <w:rPr>
                <w:rFonts w:hint="eastAsia"/>
                <w:sz w:val="18"/>
                <w:szCs w:val="18"/>
                <w:highlight w:val="none"/>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在本产品存续期内，温州银行有权根据市场情况调整本产品前述产品要素，调整前将在</w:t>
            </w:r>
            <w:r>
              <w:rPr>
                <w:rFonts w:hint="eastAsia"/>
                <w:sz w:val="18"/>
                <w:szCs w:val="18"/>
                <w:highlight w:val="none"/>
              </w:rPr>
              <w:t>温州银行官方网站</w:t>
            </w:r>
            <w:r>
              <w:rPr>
                <w:rFonts w:hint="eastAsia" w:cs="Times New Roman"/>
                <w:sz w:val="18"/>
                <w:szCs w:val="18"/>
                <w:highlight w:val="none"/>
              </w:rPr>
              <w:t>进行相关信息披露。理财本金在理财</w:t>
            </w:r>
            <w:r>
              <w:rPr>
                <w:rFonts w:hint="eastAsia"/>
                <w:sz w:val="18"/>
                <w:szCs w:val="18"/>
                <w:highlight w:val="none"/>
              </w:rPr>
              <w:t>产品认购（申购）确认日</w:t>
            </w:r>
            <w:r>
              <w:rPr>
                <w:rFonts w:hint="eastAsia" w:cs="Times New Roman"/>
                <w:sz w:val="18"/>
                <w:szCs w:val="18"/>
                <w:highlight w:val="none"/>
              </w:rPr>
              <w:t>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numPr>
          <w:ilvl w:val="0"/>
          <w:numId w:val="1"/>
        </w:numPr>
        <w:adjustRightInd w:val="0"/>
        <w:snapToGrid w:val="0"/>
        <w:spacing w:line="300" w:lineRule="auto"/>
        <w:rPr>
          <w:rFonts w:hint="eastAsia"/>
          <w:sz w:val="18"/>
          <w:szCs w:val="18"/>
          <w:highlight w:val="none"/>
        </w:rPr>
      </w:pPr>
      <w:r>
        <w:rPr>
          <w:rFonts w:hint="eastAsia"/>
          <w:sz w:val="18"/>
          <w:szCs w:val="18"/>
          <w:highlight w:val="none"/>
        </w:rPr>
        <w:t>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7"/>
        <w:tblW w:w="4999" w:type="pct"/>
        <w:jc w:val="center"/>
        <w:tblLayout w:type="autofit"/>
        <w:tblCellMar>
          <w:top w:w="0" w:type="dxa"/>
          <w:left w:w="108" w:type="dxa"/>
          <w:bottom w:w="0" w:type="dxa"/>
          <w:right w:w="108" w:type="dxa"/>
        </w:tblCellMar>
      </w:tblPr>
      <w:tblGrid>
        <w:gridCol w:w="5112"/>
        <w:gridCol w:w="4286"/>
      </w:tblGrid>
      <w:tr>
        <w:tblPrEx>
          <w:tblCellMar>
            <w:top w:w="0" w:type="dxa"/>
            <w:left w:w="108" w:type="dxa"/>
            <w:bottom w:w="0" w:type="dxa"/>
            <w:right w:w="108" w:type="dxa"/>
          </w:tblCellMar>
        </w:tblPrEx>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2"/>
        </w:numPr>
        <w:adjustRightInd w:val="0"/>
        <w:snapToGrid w:val="0"/>
        <w:spacing w:line="281" w:lineRule="auto"/>
        <w:rPr>
          <w:rFonts w:hint="eastAsia"/>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p>
        </w:tc>
        <w:tc>
          <w:tcPr>
            <w:tcW w:w="2500" w:type="pct"/>
          </w:tcPr>
          <w:p>
            <w:pPr>
              <w:adjustRightInd w:val="0"/>
              <w:snapToGrid w:val="0"/>
              <w:spacing w:line="286" w:lineRule="auto"/>
              <w:rPr>
                <w:rFonts w:hint="eastAsia"/>
                <w:sz w:val="18"/>
                <w:szCs w:val="18"/>
                <w:highlight w:val="none"/>
                <w:vertAlign w:val="baseline"/>
                <w:lang w:eastAsia="zh-CN"/>
              </w:rPr>
            </w:pP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sz w:val="18"/>
                <w:szCs w:val="18"/>
                <w:highlight w:val="none"/>
              </w:rPr>
              <w:t>中国邮政储蓄银行股份有限公司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中国北京市西城区金融大街3号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5" w:lineRule="auto"/>
        <w:rPr>
          <w:sz w:val="18"/>
          <w:szCs w:val="18"/>
          <w:highlight w:val="none"/>
        </w:rPr>
      </w:pPr>
      <w:r>
        <w:rPr>
          <w:rFonts w:hint="eastAsia" w:ascii="宋体" w:hAnsi="宋体"/>
          <w:b/>
          <w:bCs/>
          <w:sz w:val="18"/>
          <w:szCs w:val="18"/>
          <w:highlight w:val="none"/>
        </w:rPr>
        <w:t>投资合作机构</w:t>
      </w:r>
    </w:p>
    <w:p>
      <w:pPr>
        <w:adjustRightInd w:val="0"/>
        <w:snapToGrid w:val="0"/>
        <w:spacing w:line="285" w:lineRule="auto"/>
        <w:rPr>
          <w:rFonts w:hint="eastAsia"/>
          <w:sz w:val="18"/>
          <w:szCs w:val="18"/>
          <w:highlight w:val="none"/>
        </w:rPr>
      </w:pPr>
      <w:r>
        <w:rPr>
          <w:rFonts w:hint="eastAsia" w:ascii="宋体" w:hAnsi="宋体"/>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t>
      </w:r>
      <w:r>
        <w:rPr>
          <w:rFonts w:ascii="宋体" w:hAnsi="宋体"/>
          <w:color w:val="auto"/>
          <w:sz w:val="18"/>
          <w:szCs w:val="18"/>
          <w:highlight w:val="none"/>
          <w:u w:val="none"/>
        </w:rPr>
        <w:t>www.wzbank.cn</w:t>
      </w:r>
      <w:r>
        <w:rPr>
          <w:rFonts w:hint="eastAsia" w:ascii="宋体" w:hAnsi="宋体"/>
          <w:sz w:val="18"/>
          <w:szCs w:val="18"/>
          <w:highlight w:val="none"/>
        </w:rPr>
        <w:t>）查询温州银行理财产品的投资合作机构名单。</w:t>
      </w:r>
    </w:p>
    <w:p>
      <w:pPr>
        <w:adjustRightInd w:val="0"/>
        <w:snapToGrid w:val="0"/>
        <w:spacing w:line="286" w:lineRule="auto"/>
        <w:rPr>
          <w:rFonts w:hint="eastAsia"/>
          <w:b/>
          <w:bCs/>
          <w:sz w:val="18"/>
          <w:szCs w:val="18"/>
          <w:highlight w:val="none"/>
        </w:rPr>
      </w:pPr>
      <w:r>
        <w:rPr>
          <w:rFonts w:hint="eastAsia"/>
          <w:b/>
          <w:bCs/>
          <w:sz w:val="18"/>
          <w:szCs w:val="18"/>
          <w:highlight w:val="none"/>
        </w:rPr>
        <w:t>理财产品估值</w:t>
      </w:r>
    </w:p>
    <w:p>
      <w:pPr>
        <w:adjustRightInd w:val="0"/>
        <w:snapToGrid w:val="0"/>
        <w:spacing w:line="286" w:lineRule="auto"/>
        <w:rPr>
          <w:rFonts w:hint="eastAsia"/>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 xml:space="preserve"> 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客观、准确反映理财产品的价值。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rFonts w:hint="eastAsia"/>
          <w:sz w:val="18"/>
          <w:szCs w:val="18"/>
          <w:highlight w:val="none"/>
        </w:rPr>
      </w:pPr>
      <w:r>
        <w:rPr>
          <w:rFonts w:hint="eastAsia" w:ascii="宋体" w:hAnsi="宋体"/>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adjustRightInd w:val="0"/>
        <w:snapToGrid w:val="0"/>
        <w:spacing w:line="286" w:lineRule="auto"/>
        <w:rPr>
          <w:rFonts w:hint="eastAsia"/>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rFonts w:hint="eastAsia"/>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rFonts w:hint="eastAsia"/>
          <w:b/>
          <w:sz w:val="18"/>
          <w:szCs w:val="18"/>
          <w:highlight w:val="none"/>
        </w:rPr>
      </w:pPr>
      <w:r>
        <w:rPr>
          <w:rFonts w:hint="eastAsia"/>
          <w:b/>
          <w:sz w:val="18"/>
          <w:szCs w:val="18"/>
          <w:highlight w:val="none"/>
        </w:rPr>
        <w:t>理财收益测算及相关费用</w:t>
      </w:r>
    </w:p>
    <w:p>
      <w:pPr>
        <w:adjustRightInd w:val="0"/>
        <w:snapToGrid w:val="0"/>
        <w:spacing w:line="286" w:lineRule="auto"/>
        <w:rPr>
          <w:rFonts w:hint="eastAsia"/>
          <w:sz w:val="18"/>
          <w:szCs w:val="18"/>
          <w:highlight w:val="none"/>
        </w:rPr>
      </w:pPr>
      <w:r>
        <w:rPr>
          <w:rFonts w:hint="eastAsia"/>
          <w:sz w:val="18"/>
          <w:szCs w:val="18"/>
          <w:highlight w:val="none"/>
        </w:rPr>
        <w:t>【理财产品单位净值】</w:t>
      </w:r>
    </w:p>
    <w:p>
      <w:pPr>
        <w:adjustRightInd w:val="0"/>
        <w:snapToGrid w:val="0"/>
        <w:spacing w:line="286" w:lineRule="auto"/>
        <w:rPr>
          <w:rFonts w:hint="eastAsia"/>
          <w:sz w:val="18"/>
          <w:szCs w:val="18"/>
          <w:highlight w:val="none"/>
        </w:rPr>
      </w:pPr>
      <w:r>
        <w:rPr>
          <w:rFonts w:hint="eastAsia"/>
          <w:sz w:val="18"/>
          <w:szCs w:val="18"/>
          <w:highlight w:val="none"/>
        </w:rPr>
        <w:t>理财产品单位净值=理财产品总净值÷理财产品总份额</w:t>
      </w:r>
    </w:p>
    <w:p>
      <w:pPr>
        <w:adjustRightInd w:val="0"/>
        <w:snapToGrid w:val="0"/>
        <w:spacing w:line="286" w:lineRule="auto"/>
        <w:rPr>
          <w:rFonts w:hint="eastAsia"/>
          <w:sz w:val="18"/>
          <w:szCs w:val="18"/>
          <w:highlight w:val="none"/>
        </w:rPr>
      </w:pPr>
      <w:r>
        <w:rPr>
          <w:rFonts w:hint="eastAsia"/>
          <w:sz w:val="18"/>
          <w:szCs w:val="18"/>
          <w:highlight w:val="none"/>
        </w:rPr>
        <w:t>理财产品单位净值为提取相关费用后的净值，客户按该单位净值进行赎回或产品到期终止清算时的分配。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rFonts w:hint="eastAsia"/>
          <w:sz w:val="18"/>
          <w:szCs w:val="18"/>
          <w:highlight w:val="none"/>
        </w:rPr>
      </w:pPr>
      <w:r>
        <w:rPr>
          <w:sz w:val="18"/>
          <w:szCs w:val="18"/>
          <w:highlight w:val="none"/>
        </w:rPr>
        <w:t>1</w:t>
      </w:r>
      <w:r>
        <w:rPr>
          <w:rFonts w:hint="eastAsia"/>
          <w:sz w:val="18"/>
          <w:szCs w:val="18"/>
          <w:highlight w:val="none"/>
          <w:lang w:eastAsia="zh-CN"/>
        </w:rPr>
        <w:t>、</w:t>
      </w:r>
      <w:r>
        <w:rPr>
          <w:rFonts w:hint="eastAsia"/>
          <w:sz w:val="18"/>
          <w:szCs w:val="18"/>
          <w:highlight w:val="none"/>
        </w:rPr>
        <w:t>本理财计划成立日为</w:t>
      </w:r>
      <w:r>
        <w:rPr>
          <w:sz w:val="18"/>
          <w:szCs w:val="18"/>
          <w:highlight w:val="none"/>
        </w:rPr>
        <w:t>20</w:t>
      </w:r>
      <w:r>
        <w:rPr>
          <w:rFonts w:hint="eastAsia"/>
          <w:sz w:val="18"/>
          <w:szCs w:val="18"/>
          <w:highlight w:val="none"/>
        </w:rPr>
        <w:t>21年6月8日。封闭期为2021年6月8日至2021年7月4日。</w:t>
      </w:r>
    </w:p>
    <w:p>
      <w:pPr>
        <w:adjustRightInd w:val="0"/>
        <w:snapToGrid w:val="0"/>
        <w:spacing w:line="286" w:lineRule="auto"/>
        <w:rPr>
          <w:rFonts w:hint="eastAsia"/>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申购、赎回期：本理财计划封闭期结束后，投资者可在本产品存续期内的</w:t>
      </w:r>
      <w:r>
        <w:rPr>
          <w:rFonts w:hint="eastAsia"/>
          <w:sz w:val="18"/>
          <w:szCs w:val="18"/>
          <w:highlight w:val="none"/>
          <w:lang w:val="en-US" w:eastAsia="zh-CN"/>
        </w:rPr>
        <w:t>交易日</w:t>
      </w:r>
      <w:r>
        <w:rPr>
          <w:rFonts w:hint="eastAsia"/>
          <w:sz w:val="18"/>
          <w:szCs w:val="18"/>
          <w:highlight w:val="none"/>
        </w:rPr>
        <w:t>，向温州银行提交申购或赎回申请，申购确认日、赎回清算日为交易受理的下一</w:t>
      </w:r>
      <w:r>
        <w:rPr>
          <w:rFonts w:hint="eastAsia"/>
          <w:sz w:val="18"/>
          <w:szCs w:val="18"/>
          <w:highlight w:val="none"/>
          <w:lang w:val="en-US" w:eastAsia="zh-CN"/>
        </w:rPr>
        <w:t>交易日</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）本理财计划在开放期的工作时间可以提交申购和赎回申请，交易申请将在交易受理的下一</w:t>
      </w:r>
      <w:r>
        <w:rPr>
          <w:rFonts w:hint="eastAsia"/>
          <w:sz w:val="18"/>
          <w:szCs w:val="18"/>
          <w:highlight w:val="none"/>
          <w:lang w:val="en-US" w:eastAsia="zh-CN"/>
        </w:rPr>
        <w:t>交易日</w:t>
      </w:r>
      <w:r>
        <w:rPr>
          <w:rFonts w:hint="eastAsia"/>
          <w:sz w:val="18"/>
          <w:szCs w:val="18"/>
          <w:highlight w:val="none"/>
        </w:rPr>
        <w:t>确认。</w:t>
      </w:r>
      <w:r>
        <w:rPr>
          <w:sz w:val="18"/>
          <w:szCs w:val="18"/>
          <w:highlight w:val="none"/>
        </w:rPr>
        <w:t xml:space="preserve"> </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rFonts w:hint="eastAsia"/>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）投资者可于产品开放期</w:t>
      </w:r>
      <w:r>
        <w:rPr>
          <w:sz w:val="18"/>
          <w:szCs w:val="18"/>
          <w:highlight w:val="none"/>
        </w:rPr>
        <w:t>日</w:t>
      </w:r>
      <w:r>
        <w:rPr>
          <w:rFonts w:hint="eastAsia"/>
          <w:sz w:val="18"/>
          <w:szCs w:val="18"/>
          <w:highlight w:val="none"/>
        </w:rPr>
        <w:t>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rPr>
        <w:t>千元或人民币</w:t>
      </w:r>
      <w:r>
        <w:rPr>
          <w:sz w:val="18"/>
          <w:szCs w:val="18"/>
          <w:highlight w:val="none"/>
        </w:rPr>
        <w:t>1</w:t>
      </w:r>
      <w:r>
        <w:rPr>
          <w:rFonts w:hint="eastAsia"/>
          <w:sz w:val="18"/>
          <w:szCs w:val="18"/>
          <w:highlight w:val="none"/>
        </w:rPr>
        <w:t>千元的整数倍。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rFonts w:hint="eastAsia"/>
          <w:sz w:val="18"/>
          <w:szCs w:val="18"/>
          <w:highlight w:val="none"/>
        </w:rPr>
      </w:pPr>
      <w:r>
        <w:rPr>
          <w:rFonts w:hint="eastAsia"/>
          <w:sz w:val="18"/>
          <w:szCs w:val="18"/>
          <w:highlight w:val="none"/>
        </w:rPr>
        <w:t>（10）巨额赎回：</w:t>
      </w:r>
    </w:p>
    <w:p>
      <w:pPr>
        <w:adjustRightInd w:val="0"/>
        <w:snapToGrid w:val="0"/>
        <w:spacing w:line="286" w:lineRule="auto"/>
        <w:rPr>
          <w:rFonts w:hint="eastAsia"/>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rFonts w:hint="eastAsia"/>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rFonts w:hint="eastAsia"/>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3"/>
        </w:numPr>
        <w:adjustRightInd w:val="0"/>
        <w:snapToGrid w:val="0"/>
        <w:spacing w:line="286" w:lineRule="auto"/>
        <w:rPr>
          <w:rFonts w:hint="eastAsia"/>
          <w:sz w:val="18"/>
          <w:szCs w:val="18"/>
          <w:highlight w:val="none"/>
        </w:rPr>
      </w:pPr>
      <w:r>
        <w:rPr>
          <w:rFonts w:hint="eastAsia"/>
          <w:sz w:val="18"/>
          <w:szCs w:val="18"/>
          <w:highlight w:val="none"/>
        </w:rPr>
        <w:t>摆动定价机制</w:t>
      </w:r>
    </w:p>
    <w:p>
      <w:pPr>
        <w:adjustRightInd w:val="0"/>
        <w:snapToGrid w:val="0"/>
        <w:spacing w:line="286" w:lineRule="auto"/>
        <w:rPr>
          <w:rFonts w:hint="eastAsia"/>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申购份额＝申购金额÷申购确认日前一自然日理财计划单位净值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w:t>
      </w:r>
      <w:r>
        <w:rPr>
          <w:rFonts w:hint="eastAsia"/>
          <w:sz w:val="18"/>
          <w:szCs w:val="18"/>
          <w:highlight w:val="none"/>
          <w:lang w:val="en-US" w:eastAsia="zh-CN"/>
        </w:rPr>
        <w:t>份额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理财计划采用“份额赎回”方式，赎回价格以赎回清算日前一自然日的理财计划单位净值为基准进行计算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赎回金额＝总赎回份额×赎回清算日前一自然日理财计划单位净值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赎回费＝赎回金额×赎回费率</w:t>
      </w:r>
    </w:p>
    <w:p>
      <w:pPr>
        <w:adjustRightInd w:val="0"/>
        <w:snapToGrid w:val="0"/>
        <w:spacing w:line="286" w:lineRule="auto"/>
        <w:rPr>
          <w:sz w:val="18"/>
          <w:szCs w:val="18"/>
          <w:highlight w:val="none"/>
        </w:rPr>
      </w:pPr>
      <w:r>
        <w:rPr>
          <w:rFonts w:hint="eastAsia"/>
          <w:sz w:val="18"/>
          <w:szCs w:val="18"/>
          <w:highlight w:val="none"/>
        </w:rPr>
        <w:t>赎回费率为【0】</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示例：假定某投资者赎回100000份理财计划份额，理财计划单位净值为1.0530元人民币时赎回。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rFonts w:hint="eastAsia"/>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rFonts w:hint="eastAsia"/>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rFonts w:hint="eastAsia"/>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4"/>
        </w:numPr>
        <w:adjustRightInd w:val="0"/>
        <w:snapToGrid w:val="0"/>
        <w:spacing w:line="286" w:lineRule="auto"/>
        <w:rPr>
          <w:rFonts w:hint="eastAsia"/>
          <w:sz w:val="18"/>
          <w:szCs w:val="18"/>
          <w:highlight w:val="none"/>
        </w:rPr>
      </w:pPr>
      <w:r>
        <w:rPr>
          <w:rFonts w:hint="eastAsia"/>
          <w:sz w:val="18"/>
          <w:szCs w:val="18"/>
          <w:highlight w:val="none"/>
        </w:rPr>
        <w:t>发生巨额赎回或连续巨额赎回的情形时。</w:t>
      </w:r>
    </w:p>
    <w:p>
      <w:pPr>
        <w:numPr>
          <w:ilvl w:val="0"/>
          <w:numId w:val="4"/>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4"/>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4"/>
        </w:numPr>
        <w:adjustRightInd w:val="0"/>
        <w:snapToGrid w:val="0"/>
        <w:spacing w:line="286" w:lineRule="auto"/>
        <w:rPr>
          <w:rFonts w:hint="eastAsia"/>
          <w:sz w:val="18"/>
          <w:szCs w:val="18"/>
          <w:highlight w:val="none"/>
        </w:rPr>
      </w:pPr>
      <w:r>
        <w:rPr>
          <w:rFonts w:hint="eastAsia"/>
          <w:sz w:val="18"/>
          <w:szCs w:val="18"/>
          <w:highlight w:val="none"/>
        </w:rPr>
        <w:t>发生产品说明书约定的暂停估值的情形时。</w:t>
      </w:r>
    </w:p>
    <w:p>
      <w:pPr>
        <w:numPr>
          <w:ilvl w:val="0"/>
          <w:numId w:val="4"/>
        </w:numPr>
        <w:adjustRightInd w:val="0"/>
        <w:snapToGrid w:val="0"/>
        <w:spacing w:line="286" w:lineRule="auto"/>
        <w:rPr>
          <w:rFonts w:hint="eastAsia"/>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highlight w:val="none"/>
        </w:rPr>
      </w:pPr>
      <w:r>
        <w:rPr>
          <w:rFonts w:hint="eastAsia"/>
          <w:sz w:val="18"/>
          <w:szCs w:val="18"/>
          <w:highlight w:val="none"/>
        </w:rPr>
        <w:t>【终止（包括到期终止、提前终止、延期终止）】</w:t>
      </w:r>
    </w:p>
    <w:p>
      <w:pPr>
        <w:adjustRightInd w:val="0"/>
        <w:snapToGrid w:val="0"/>
        <w:spacing w:line="286" w:lineRule="auto"/>
        <w:rPr>
          <w:rFonts w:hint="eastAsia"/>
          <w:color w:val="000000"/>
          <w:sz w:val="18"/>
          <w:highlight w:val="none"/>
        </w:rPr>
      </w:pPr>
      <w:r>
        <w:rPr>
          <w:rFonts w:hint="eastAsia"/>
          <w:sz w:val="18"/>
          <w:szCs w:val="18"/>
          <w:highlight w:val="none"/>
        </w:rPr>
        <w:t>本产品无固定到期日</w:t>
      </w:r>
      <w:r>
        <w:rPr>
          <w:rFonts w:hint="eastAsia"/>
          <w:color w:val="000000"/>
          <w:sz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highlight w:val="none"/>
        </w:rPr>
      </w:pPr>
      <w:r>
        <w:rPr>
          <w:rFonts w:hint="eastAsia"/>
          <w:sz w:val="18"/>
          <w:szCs w:val="18"/>
          <w:highlight w:val="none"/>
        </w:rPr>
        <w:t>【相关费用】</w:t>
      </w:r>
    </w:p>
    <w:p>
      <w:pPr>
        <w:adjustRightInd w:val="0"/>
        <w:snapToGrid w:val="0"/>
        <w:spacing w:line="286" w:lineRule="auto"/>
        <w:rPr>
          <w:rFonts w:hint="eastAsia"/>
          <w:sz w:val="18"/>
          <w:szCs w:val="18"/>
          <w:highlight w:val="none"/>
        </w:rPr>
      </w:pPr>
      <w:r>
        <w:rPr>
          <w:rFonts w:hint="eastAsia"/>
          <w:sz w:val="18"/>
          <w:szCs w:val="18"/>
          <w:highlight w:val="none"/>
        </w:rPr>
        <w:t>（1）理财管理人的固定管理费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理财管理人对委托资产收取的固定管理费，理财计划财产的年固定管理费率为1.0%，计算方法如下：</w:t>
      </w:r>
    </w:p>
    <w:p>
      <w:pPr>
        <w:adjustRightInd w:val="0"/>
        <w:snapToGrid w:val="0"/>
        <w:spacing w:line="286" w:lineRule="auto"/>
        <w:rPr>
          <w:rFonts w:hint="eastAsia"/>
          <w:sz w:val="18"/>
          <w:szCs w:val="18"/>
          <w:highlight w:val="none"/>
        </w:rPr>
      </w:pPr>
      <w:r>
        <w:rPr>
          <w:rFonts w:hint="eastAsia"/>
          <w:sz w:val="18"/>
          <w:szCs w:val="18"/>
          <w:highlight w:val="none"/>
        </w:rPr>
        <w:t>H＝E×1.0%÷365</w:t>
      </w:r>
    </w:p>
    <w:p>
      <w:pPr>
        <w:adjustRightInd w:val="0"/>
        <w:snapToGrid w:val="0"/>
        <w:spacing w:line="286" w:lineRule="auto"/>
        <w:rPr>
          <w:rFonts w:hint="eastAsia"/>
          <w:sz w:val="18"/>
          <w:szCs w:val="18"/>
          <w:highlight w:val="none"/>
        </w:rPr>
      </w:pPr>
      <w:r>
        <w:rPr>
          <w:rFonts w:hint="eastAsia"/>
          <w:sz w:val="18"/>
          <w:szCs w:val="18"/>
          <w:highlight w:val="none"/>
        </w:rPr>
        <w:t>H为每日应计提的固定管理费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E为本计划前一自然日资产净值，第一日固定管理费=第一日理财产品本金余额×固定管理费率÷365。</w:t>
      </w:r>
    </w:p>
    <w:p>
      <w:pPr>
        <w:adjustRightInd w:val="0"/>
        <w:snapToGrid w:val="0"/>
        <w:spacing w:line="286" w:lineRule="auto"/>
        <w:rPr>
          <w:rFonts w:hint="eastAsia"/>
          <w:sz w:val="18"/>
          <w:szCs w:val="18"/>
          <w:highlight w:val="none"/>
        </w:rPr>
      </w:pPr>
      <w:r>
        <w:rPr>
          <w:rFonts w:hint="eastAsia"/>
          <w:sz w:val="18"/>
          <w:szCs w:val="18"/>
          <w:highlight w:val="none"/>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rFonts w:hint="eastAsia"/>
          <w:sz w:val="18"/>
          <w:szCs w:val="18"/>
          <w:highlight w:val="none"/>
        </w:rPr>
      </w:pPr>
      <w:r>
        <w:rPr>
          <w:rFonts w:hint="eastAsia"/>
          <w:sz w:val="18"/>
          <w:szCs w:val="18"/>
          <w:highlight w:val="none"/>
        </w:rPr>
        <w:t>（2）理财管理人的浮动管理费</w:t>
      </w:r>
    </w:p>
    <w:p>
      <w:pPr>
        <w:adjustRightInd w:val="0"/>
        <w:snapToGrid w:val="0"/>
        <w:spacing w:line="286" w:lineRule="auto"/>
        <w:rPr>
          <w:rFonts w:hint="eastAsia"/>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F=（Y-A×R÷365）×80%</w:t>
      </w:r>
    </w:p>
    <w:p>
      <w:pPr>
        <w:adjustRightInd w:val="0"/>
        <w:snapToGrid w:val="0"/>
        <w:spacing w:line="286" w:lineRule="auto"/>
        <w:rPr>
          <w:rFonts w:hint="eastAsia"/>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F为每日应计提的浮动管理费，当计提后的浮动管理费余额小于0时，则当日不再予以计提，即当日浮动管理费余额为0。</w:t>
      </w:r>
    </w:p>
    <w:p>
      <w:pPr>
        <w:adjustRightInd w:val="0"/>
        <w:snapToGrid w:val="0"/>
        <w:spacing w:line="286" w:lineRule="auto"/>
        <w:rPr>
          <w:sz w:val="18"/>
          <w:szCs w:val="18"/>
          <w:highlight w:val="none"/>
        </w:rPr>
      </w:pPr>
      <w:r>
        <w:rPr>
          <w:rFonts w:hint="eastAsia"/>
          <w:sz w:val="18"/>
          <w:szCs w:val="18"/>
          <w:highlight w:val="none"/>
        </w:rPr>
        <w:t>Y为当日扣除浮动管理费前的当日资产收益</w:t>
      </w:r>
    </w:p>
    <w:p>
      <w:pPr>
        <w:adjustRightInd w:val="0"/>
        <w:snapToGrid w:val="0"/>
        <w:spacing w:line="286" w:lineRule="auto"/>
        <w:rPr>
          <w:sz w:val="18"/>
          <w:szCs w:val="18"/>
          <w:highlight w:val="none"/>
        </w:rPr>
      </w:pPr>
      <w:r>
        <w:rPr>
          <w:rFonts w:hint="eastAsia"/>
          <w:sz w:val="18"/>
          <w:szCs w:val="18"/>
          <w:highlight w:val="none"/>
        </w:rPr>
        <w:t>A为上一日理财产品的单位净值×当日产品份额余额</w:t>
      </w:r>
    </w:p>
    <w:p>
      <w:pPr>
        <w:adjustRightInd w:val="0"/>
        <w:snapToGrid w:val="0"/>
        <w:spacing w:line="286" w:lineRule="auto"/>
        <w:rPr>
          <w:rFonts w:hint="eastAsia"/>
          <w:sz w:val="18"/>
          <w:szCs w:val="18"/>
          <w:highlight w:val="none"/>
        </w:rPr>
      </w:pPr>
      <w:r>
        <w:rPr>
          <w:rFonts w:hint="eastAsia"/>
          <w:sz w:val="18"/>
          <w:szCs w:val="18"/>
          <w:highlight w:val="none"/>
        </w:rPr>
        <w:t>R为当日的业绩比较基准，若业绩比较基准存在区间范围的，则为业绩比较基准区间均值</w:t>
      </w:r>
      <w:r>
        <w:rPr>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rFonts w:hint="eastAsia"/>
          <w:sz w:val="18"/>
          <w:szCs w:val="18"/>
          <w:highlight w:val="none"/>
        </w:rPr>
      </w:pPr>
      <w:r>
        <w:rPr>
          <w:rFonts w:hint="eastAsia"/>
          <w:sz w:val="18"/>
          <w:szCs w:val="18"/>
          <w:highlight w:val="none"/>
        </w:rPr>
        <w:t>（3）理财托管人的托管费</w:t>
      </w:r>
    </w:p>
    <w:p>
      <w:pPr>
        <w:adjustRightInd w:val="0"/>
        <w:snapToGrid w:val="0"/>
        <w:spacing w:line="286" w:lineRule="auto"/>
        <w:rPr>
          <w:rFonts w:hint="eastAsia"/>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rFonts w:hint="eastAsia"/>
          <w:sz w:val="18"/>
          <w:szCs w:val="18"/>
          <w:highlight w:val="none"/>
        </w:rPr>
      </w:pPr>
      <w:r>
        <w:rPr>
          <w:rFonts w:hint="eastAsia"/>
          <w:sz w:val="18"/>
          <w:szCs w:val="18"/>
          <w:highlight w:val="none"/>
        </w:rPr>
        <w:t>H＝E×0.005％÷365</w:t>
      </w:r>
    </w:p>
    <w:p>
      <w:pPr>
        <w:adjustRightInd w:val="0"/>
        <w:snapToGrid w:val="0"/>
        <w:spacing w:line="286" w:lineRule="auto"/>
        <w:rPr>
          <w:rFonts w:hint="eastAsia"/>
          <w:sz w:val="18"/>
          <w:szCs w:val="18"/>
          <w:highlight w:val="none"/>
        </w:rPr>
      </w:pPr>
      <w:r>
        <w:rPr>
          <w:rFonts w:hint="eastAsia"/>
          <w:sz w:val="18"/>
          <w:szCs w:val="18"/>
          <w:highlight w:val="none"/>
        </w:rPr>
        <w:t>H为每日应计提的托管费</w:t>
      </w:r>
    </w:p>
    <w:p>
      <w:pPr>
        <w:adjustRightInd w:val="0"/>
        <w:snapToGrid w:val="0"/>
        <w:spacing w:line="286" w:lineRule="auto"/>
        <w:rPr>
          <w:rFonts w:hint="eastAsia"/>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rFonts w:hint="eastAsia"/>
          <w:sz w:val="18"/>
          <w:szCs w:val="18"/>
          <w:highlight w:val="none"/>
        </w:rPr>
      </w:pPr>
      <w:r>
        <w:rPr>
          <w:rFonts w:hint="eastAsia"/>
          <w:sz w:val="18"/>
          <w:szCs w:val="18"/>
          <w:highlight w:val="none"/>
        </w:rPr>
        <w:t>托管费原则上按日计提，逐日累计至每季度最后一个自然月的15日（如遇法定节假日顺延）从理财计划财产中扣除。</w:t>
      </w:r>
    </w:p>
    <w:p>
      <w:pPr>
        <w:adjustRightInd w:val="0"/>
        <w:snapToGrid w:val="0"/>
        <w:spacing w:line="286" w:lineRule="auto"/>
        <w:rPr>
          <w:rFonts w:hint="eastAsia"/>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lang w:val="en-US" w:eastAsia="zh-CN"/>
        </w:rPr>
        <w:t>收益</w:t>
      </w:r>
      <w:r>
        <w:rPr>
          <w:b/>
          <w:sz w:val="18"/>
          <w:szCs w:val="18"/>
          <w:highlight w:val="none"/>
        </w:rPr>
        <w:t>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default"/>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rPr>
        <w:t>本理财计划不定期进行收益分配。收益分配方式分两种：现金分红与红利再投资。温州银行可选择现金红利分配或将现金红利自动转为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3</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rFonts w:hint="default"/>
          <w:sz w:val="18"/>
          <w:szCs w:val="18"/>
          <w:highlight w:val="none"/>
          <w:lang w:val="en-US" w:eastAsia="zh-CN"/>
        </w:rPr>
      </w:pPr>
      <w:r>
        <w:rPr>
          <w:rFonts w:hint="eastAsia"/>
          <w:sz w:val="18"/>
          <w:szCs w:val="18"/>
          <w:highlight w:val="none"/>
          <w:lang w:val="en-US" w:eastAsia="zh-CN"/>
        </w:rPr>
        <w:t>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rPr>
        <w:t>证券</w:t>
      </w:r>
      <w:r>
        <w:rPr>
          <w:rFonts w:ascii="宋体" w:hAnsi="宋体"/>
          <w:sz w:val="18"/>
          <w:szCs w:val="18"/>
          <w:highlight w:val="none"/>
        </w:rPr>
        <w:t>市场造成不同程度的影响，从而产生市场风险。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sz w:val="18"/>
          <w:szCs w:val="18"/>
          <w:highlight w:val="none"/>
        </w:rPr>
        <w:t>6</w:t>
      </w:r>
      <w:r>
        <w:rPr>
          <w:rFonts w:hint="eastAsia"/>
          <w:sz w:val="18"/>
          <w:szCs w:val="18"/>
          <w:highlight w:val="none"/>
        </w:rPr>
        <w:t>、早偿风险：如温州银行在特定情况下终止理财，则投资者可能将无法实现期初预期的全部收益。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7、</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7"/>
        <w:adjustRightInd w:val="0"/>
        <w:snapToGrid w:val="0"/>
        <w:spacing w:line="286" w:lineRule="auto"/>
        <w:ind w:firstLine="0"/>
        <w:rPr>
          <w:rFonts w:ascii="Times New Roman" w:hAnsi="Times New Roman" w:cs="Times New Roman"/>
          <w:kern w:val="2"/>
          <w:sz w:val="18"/>
          <w:szCs w:val="18"/>
          <w:highlight w:val="none"/>
        </w:rPr>
      </w:pPr>
      <w:r>
        <w:rPr>
          <w:rFonts w:hint="eastAsia"/>
          <w:sz w:val="18"/>
          <w:szCs w:val="18"/>
          <w:highlight w:val="none"/>
        </w:rPr>
        <w:t>8、</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7"/>
        <w:adjustRightInd w:val="0"/>
        <w:snapToGrid w:val="0"/>
        <w:spacing w:line="286" w:lineRule="auto"/>
        <w:ind w:firstLine="0"/>
        <w:rPr>
          <w:sz w:val="18"/>
          <w:szCs w:val="18"/>
          <w:highlight w:val="none"/>
        </w:rPr>
      </w:pPr>
      <w:r>
        <w:rPr>
          <w:rFonts w:hint="eastAsia" w:ascii="宋体" w:hAnsi="宋体"/>
          <w:sz w:val="18"/>
          <w:szCs w:val="18"/>
          <w:highlight w:val="none"/>
        </w:rPr>
        <w:t>9、</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rFonts w:hint="eastAsia"/>
          <w:b/>
          <w:sz w:val="18"/>
          <w:szCs w:val="18"/>
          <w:highlight w:val="none"/>
        </w:rPr>
      </w:pPr>
      <w:r>
        <w:rPr>
          <w:rFonts w:hint="eastAsia"/>
          <w:b/>
          <w:sz w:val="18"/>
          <w:szCs w:val="18"/>
          <w:highlight w:val="none"/>
        </w:rPr>
        <w:t>信息公告</w:t>
      </w:r>
    </w:p>
    <w:p>
      <w:pPr>
        <w:adjustRightInd w:val="0"/>
        <w:snapToGrid w:val="0"/>
        <w:spacing w:line="286" w:lineRule="auto"/>
        <w:rPr>
          <w:rFonts w:hint="eastAsia"/>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w:t>
      </w:r>
      <w:r>
        <w:rPr>
          <w:rFonts w:hint="eastAsia"/>
          <w:sz w:val="18"/>
          <w:szCs w:val="18"/>
          <w:highlight w:val="none"/>
          <w:lang w:val="en-US" w:eastAsia="zh-CN"/>
        </w:rPr>
        <w:t>披露理财产品的季度报告，每年8月31日前披露产品的半年度报告，每年4月30日前披露产品上一年度的年度报告</w:t>
      </w:r>
      <w:r>
        <w:rPr>
          <w:rFonts w:hint="eastAsia"/>
          <w:sz w:val="18"/>
          <w:szCs w:val="18"/>
          <w:highlight w:val="none"/>
        </w:rPr>
        <w:t>。理财产品成立不足90个</w:t>
      </w:r>
      <w:r>
        <w:rPr>
          <w:rFonts w:hint="eastAsia"/>
          <w:sz w:val="18"/>
          <w:szCs w:val="18"/>
          <w:highlight w:val="none"/>
          <w:lang w:val="en-US" w:eastAsia="zh-CN"/>
        </w:rPr>
        <w:t>自然</w:t>
      </w:r>
      <w:r>
        <w:rPr>
          <w:rFonts w:hint="eastAsia"/>
          <w:sz w:val="18"/>
          <w:szCs w:val="18"/>
          <w:highlight w:val="none"/>
        </w:rPr>
        <w:t>日</w:t>
      </w:r>
      <w:r>
        <w:rPr>
          <w:rFonts w:hint="eastAsia"/>
          <w:sz w:val="18"/>
          <w:szCs w:val="18"/>
          <w:highlight w:val="none"/>
          <w:lang w:val="en-US" w:eastAsia="zh-CN"/>
        </w:rPr>
        <w:t>的，可以不编制当期的季度、半年和年度报告。产品期限超过90个自然日的理财产品应当在存续期内至少披露一次定期报告。</w:t>
      </w:r>
      <w:r>
        <w:rPr>
          <w:rFonts w:hint="eastAsia"/>
          <w:sz w:val="18"/>
          <w:szCs w:val="18"/>
          <w:highlight w:val="none"/>
        </w:rPr>
        <w:t>理财产品</w:t>
      </w:r>
      <w:r>
        <w:rPr>
          <w:rFonts w:hint="eastAsia"/>
          <w:sz w:val="18"/>
          <w:szCs w:val="18"/>
          <w:highlight w:val="none"/>
          <w:lang w:val="en-US" w:eastAsia="zh-CN"/>
        </w:rPr>
        <w:t>剩余存续期不足完整报告期，且到期公告或清算报告包括对应定期报告内容的，可以不编制剩余存续期所对应的季度、半年和年度报告。</w:t>
      </w:r>
      <w:r>
        <w:rPr>
          <w:rFonts w:hint="eastAsia"/>
          <w:sz w:val="18"/>
          <w:szCs w:val="18"/>
          <w:highlight w:val="none"/>
        </w:rPr>
        <w:t>开放式产品在每个开放日结束后两个工作日内，披露产品在开放日的份额净值、份额累计净值、认（申）购价格和赎回价格</w:t>
      </w:r>
      <w:r>
        <w:rPr>
          <w:rFonts w:hint="eastAsia"/>
          <w:sz w:val="18"/>
          <w:szCs w:val="18"/>
          <w:highlight w:val="none"/>
          <w:lang w:eastAsia="zh-CN"/>
        </w:rPr>
        <w:t>。</w:t>
      </w:r>
    </w:p>
    <w:p>
      <w:pPr>
        <w:adjustRightInd w:val="0"/>
        <w:snapToGrid w:val="0"/>
        <w:spacing w:line="286" w:lineRule="auto"/>
        <w:rPr>
          <w:rFonts w:hint="eastAsia"/>
          <w:sz w:val="18"/>
          <w:szCs w:val="18"/>
          <w:highlight w:val="none"/>
        </w:rPr>
      </w:pPr>
      <w:r>
        <w:rPr>
          <w:rFonts w:hint="eastAsia"/>
          <w:sz w:val="18"/>
          <w:szCs w:val="18"/>
          <w:highlight w:val="none"/>
        </w:rPr>
        <w:t>3、临时性公告</w:t>
      </w:r>
    </w:p>
    <w:p>
      <w:pPr>
        <w:adjustRightInd w:val="0"/>
        <w:snapToGrid w:val="0"/>
        <w:spacing w:line="286" w:lineRule="auto"/>
        <w:rPr>
          <w:rFonts w:hint="eastAsia"/>
          <w:sz w:val="18"/>
          <w:szCs w:val="18"/>
          <w:highlight w:val="none"/>
        </w:rPr>
      </w:pPr>
      <w:r>
        <w:rPr>
          <w:rFonts w:hint="eastAsia"/>
          <w:sz w:val="18"/>
          <w:szCs w:val="18"/>
          <w:highlight w:val="none"/>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rFonts w:hint="eastAsia"/>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6" w:lineRule="auto"/>
        <w:rPr>
          <w:rFonts w:hint="eastAsia"/>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rFonts w:hint="eastAsia"/>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6"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6"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6"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6"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7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产品认购（申购）确认日实现资金扣划，相应认购（申购）将做失败处理。</w:t>
      </w:r>
    </w:p>
    <w:p>
      <w:pPr>
        <w:adjustRightInd w:val="0"/>
        <w:snapToGrid w:val="0"/>
        <w:spacing w:line="286" w:lineRule="auto"/>
        <w:rPr>
          <w:rFonts w:hint="eastAsia"/>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rFonts w:hint="eastAsia"/>
          <w:b/>
          <w:sz w:val="18"/>
          <w:szCs w:val="18"/>
          <w:highlight w:val="none"/>
        </w:rPr>
      </w:pPr>
      <w:r>
        <w:rPr>
          <w:rFonts w:hint="eastAsia"/>
          <w:b/>
          <w:sz w:val="18"/>
          <w:szCs w:val="18"/>
          <w:highlight w:val="none"/>
        </w:rPr>
        <w:t>法律适用与争议解决</w:t>
      </w:r>
    </w:p>
    <w:p>
      <w:pPr>
        <w:adjustRightInd w:val="0"/>
        <w:snapToGrid w:val="0"/>
        <w:spacing w:line="286" w:lineRule="auto"/>
        <w:rPr>
          <w:rFonts w:hint="eastAsia"/>
          <w:sz w:val="18"/>
          <w:szCs w:val="18"/>
          <w:highlight w:val="none"/>
        </w:rPr>
      </w:pPr>
      <w:r>
        <w:rPr>
          <w:rFonts w:hint="eastAsia"/>
          <w:sz w:val="18"/>
          <w:szCs w:val="18"/>
          <w:highlight w:val="none"/>
        </w:rPr>
        <w:t>1</w:t>
      </w:r>
      <w:r>
        <w:rPr>
          <w:rFonts w:hint="eastAsia"/>
          <w:sz w:val="18"/>
          <w:szCs w:val="18"/>
          <w:highlight w:val="none"/>
          <w:lang w:eastAsia="zh-CN"/>
        </w:rPr>
        <w:t>、</w:t>
      </w:r>
      <w:r>
        <w:rPr>
          <w:rFonts w:hint="eastAsia"/>
          <w:sz w:val="18"/>
          <w:szCs w:val="18"/>
          <w:highlight w:val="none"/>
        </w:rPr>
        <w:t>法律适用</w:t>
      </w:r>
    </w:p>
    <w:p>
      <w:pPr>
        <w:adjustRightInd w:val="0"/>
        <w:snapToGrid w:val="0"/>
        <w:spacing w:line="286" w:lineRule="auto"/>
        <w:rPr>
          <w:rFonts w:hint="eastAsia"/>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rFonts w:hint="eastAsia"/>
          <w:sz w:val="18"/>
          <w:szCs w:val="18"/>
          <w:highlight w:val="none"/>
        </w:rPr>
      </w:pPr>
      <w:r>
        <w:rPr>
          <w:rFonts w:hint="eastAsia"/>
          <w:sz w:val="18"/>
          <w:szCs w:val="18"/>
          <w:highlight w:val="none"/>
        </w:rPr>
        <w:t>2</w:t>
      </w:r>
      <w:r>
        <w:rPr>
          <w:rFonts w:hint="eastAsia"/>
          <w:sz w:val="18"/>
          <w:szCs w:val="18"/>
          <w:highlight w:val="none"/>
          <w:lang w:eastAsia="zh-CN"/>
        </w:rPr>
        <w:t>、</w:t>
      </w:r>
      <w:r>
        <w:rPr>
          <w:rFonts w:hint="eastAsia"/>
          <w:sz w:val="18"/>
          <w:szCs w:val="18"/>
          <w:highlight w:val="none"/>
        </w:rPr>
        <w:t>争议解决</w:t>
      </w:r>
    </w:p>
    <w:p>
      <w:pPr>
        <w:adjustRightInd w:val="0"/>
        <w:snapToGrid w:val="0"/>
        <w:spacing w:line="286" w:lineRule="auto"/>
        <w:rPr>
          <w:rFonts w:hint="eastAsia"/>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小Hi钱包”开放式净值型银行理财计划风险揭示书》、《温州银行理财计划合约》和《温州银行理财产品投资者权益须知》等销售文件中的内容与本产品说明书不一致的，以本产品说明书约定的内容为准。</w:t>
      </w:r>
    </w:p>
    <w:p>
      <w:pPr>
        <w:spacing w:before="312" w:beforeLines="100" w:line="281" w:lineRule="auto"/>
        <w:rPr>
          <w:rFonts w:hint="eastAsia" w:ascii="宋体" w:hAnsi="宋体"/>
          <w:szCs w:val="21"/>
          <w:highlight w:val="none"/>
        </w:rPr>
      </w:pPr>
      <w:r>
        <w:rPr>
          <w:rFonts w:hint="eastAsia" w:ascii="宋体" w:hAnsi="宋体"/>
          <w:szCs w:val="21"/>
          <w:highlight w:val="none"/>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4</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FA0AD5"/>
    <w:multiLevelType w:val="singleLevel"/>
    <w:tmpl w:val="A0FA0AD5"/>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dit="readOnly" w:enforcement="1" w:cryptProviderType="rsaFull" w:cryptAlgorithmClass="hash" w:cryptAlgorithmType="typeAny" w:cryptAlgorithmSid="4" w:cryptSpinCount="0" w:hash="i/SQap0ms2DlEZD5mUvJdr+QJ10=" w:salt="02h1AESEZQBDtnR4Qb3/ZA=="/>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962E0"/>
    <w:rsid w:val="000A5D36"/>
    <w:rsid w:val="00151CD8"/>
    <w:rsid w:val="001B2E82"/>
    <w:rsid w:val="001E3E46"/>
    <w:rsid w:val="00210947"/>
    <w:rsid w:val="00240B17"/>
    <w:rsid w:val="002E29E1"/>
    <w:rsid w:val="002F1CD4"/>
    <w:rsid w:val="00313D82"/>
    <w:rsid w:val="003839BF"/>
    <w:rsid w:val="00415BFB"/>
    <w:rsid w:val="00430500"/>
    <w:rsid w:val="004702B4"/>
    <w:rsid w:val="004B149F"/>
    <w:rsid w:val="004D632E"/>
    <w:rsid w:val="004E1BC4"/>
    <w:rsid w:val="004F3D56"/>
    <w:rsid w:val="00533B6D"/>
    <w:rsid w:val="00561460"/>
    <w:rsid w:val="006070F0"/>
    <w:rsid w:val="00642EFA"/>
    <w:rsid w:val="006B423F"/>
    <w:rsid w:val="006C24F6"/>
    <w:rsid w:val="00711B33"/>
    <w:rsid w:val="00726556"/>
    <w:rsid w:val="00841893"/>
    <w:rsid w:val="008437BB"/>
    <w:rsid w:val="008966E3"/>
    <w:rsid w:val="008D5859"/>
    <w:rsid w:val="00904AE6"/>
    <w:rsid w:val="009C1C65"/>
    <w:rsid w:val="009D7829"/>
    <w:rsid w:val="00A5411F"/>
    <w:rsid w:val="00A667CE"/>
    <w:rsid w:val="00A74DD7"/>
    <w:rsid w:val="00AB4EEA"/>
    <w:rsid w:val="00B0469F"/>
    <w:rsid w:val="00B26216"/>
    <w:rsid w:val="00B656A8"/>
    <w:rsid w:val="00B873B9"/>
    <w:rsid w:val="00BA035A"/>
    <w:rsid w:val="00BD00BD"/>
    <w:rsid w:val="00BF5F08"/>
    <w:rsid w:val="00C503B2"/>
    <w:rsid w:val="00C84777"/>
    <w:rsid w:val="00CC30DF"/>
    <w:rsid w:val="00CC5CBF"/>
    <w:rsid w:val="00CF5DA4"/>
    <w:rsid w:val="00D003E3"/>
    <w:rsid w:val="00D911CD"/>
    <w:rsid w:val="00DC7332"/>
    <w:rsid w:val="00E36D02"/>
    <w:rsid w:val="00E743FE"/>
    <w:rsid w:val="00E817AD"/>
    <w:rsid w:val="00E87E78"/>
    <w:rsid w:val="00F003E0"/>
    <w:rsid w:val="00F07D1B"/>
    <w:rsid w:val="00F23742"/>
    <w:rsid w:val="00F94FF2"/>
    <w:rsid w:val="00FE0C6E"/>
    <w:rsid w:val="00FE2991"/>
    <w:rsid w:val="01107283"/>
    <w:rsid w:val="0136718A"/>
    <w:rsid w:val="013F1C80"/>
    <w:rsid w:val="020F0314"/>
    <w:rsid w:val="02DE3CC3"/>
    <w:rsid w:val="0300078E"/>
    <w:rsid w:val="033B7EA4"/>
    <w:rsid w:val="038134CC"/>
    <w:rsid w:val="0461115B"/>
    <w:rsid w:val="04B869C4"/>
    <w:rsid w:val="05557F4F"/>
    <w:rsid w:val="055A45C0"/>
    <w:rsid w:val="056A5112"/>
    <w:rsid w:val="05BE5868"/>
    <w:rsid w:val="05F305C5"/>
    <w:rsid w:val="060D18FC"/>
    <w:rsid w:val="067E2EB5"/>
    <w:rsid w:val="07832EDD"/>
    <w:rsid w:val="07B64236"/>
    <w:rsid w:val="08293321"/>
    <w:rsid w:val="083D5445"/>
    <w:rsid w:val="08E10C89"/>
    <w:rsid w:val="098E3976"/>
    <w:rsid w:val="09C87119"/>
    <w:rsid w:val="0A3C70D8"/>
    <w:rsid w:val="0BA13524"/>
    <w:rsid w:val="0BA820C6"/>
    <w:rsid w:val="0BA921AA"/>
    <w:rsid w:val="0BBB2DCC"/>
    <w:rsid w:val="0C62485F"/>
    <w:rsid w:val="0C740124"/>
    <w:rsid w:val="0D6945E7"/>
    <w:rsid w:val="0D80050B"/>
    <w:rsid w:val="0DD2713B"/>
    <w:rsid w:val="0E337741"/>
    <w:rsid w:val="0E417312"/>
    <w:rsid w:val="0E490064"/>
    <w:rsid w:val="0E4A4F72"/>
    <w:rsid w:val="0E693E56"/>
    <w:rsid w:val="0EBF2140"/>
    <w:rsid w:val="0EEB125D"/>
    <w:rsid w:val="104A13A0"/>
    <w:rsid w:val="10630E08"/>
    <w:rsid w:val="10752629"/>
    <w:rsid w:val="109C216B"/>
    <w:rsid w:val="1160721B"/>
    <w:rsid w:val="11C64501"/>
    <w:rsid w:val="128E599E"/>
    <w:rsid w:val="129A06A2"/>
    <w:rsid w:val="12FF4DD6"/>
    <w:rsid w:val="138D0757"/>
    <w:rsid w:val="13CA4D81"/>
    <w:rsid w:val="13CC785B"/>
    <w:rsid w:val="13E4398C"/>
    <w:rsid w:val="13EE51A6"/>
    <w:rsid w:val="14D80741"/>
    <w:rsid w:val="15902BD2"/>
    <w:rsid w:val="16CA708E"/>
    <w:rsid w:val="16EE7258"/>
    <w:rsid w:val="17892312"/>
    <w:rsid w:val="18501FF1"/>
    <w:rsid w:val="1877237B"/>
    <w:rsid w:val="189823E5"/>
    <w:rsid w:val="195C3428"/>
    <w:rsid w:val="1A1E6D69"/>
    <w:rsid w:val="1AA92705"/>
    <w:rsid w:val="1B1062F2"/>
    <w:rsid w:val="1B3E22C5"/>
    <w:rsid w:val="1C065DF7"/>
    <w:rsid w:val="1C863115"/>
    <w:rsid w:val="1DC92858"/>
    <w:rsid w:val="1E2622AE"/>
    <w:rsid w:val="1E454318"/>
    <w:rsid w:val="1FBF3122"/>
    <w:rsid w:val="20502A11"/>
    <w:rsid w:val="20C132BF"/>
    <w:rsid w:val="21197EDC"/>
    <w:rsid w:val="21672DC5"/>
    <w:rsid w:val="21723C37"/>
    <w:rsid w:val="22333EAB"/>
    <w:rsid w:val="22393550"/>
    <w:rsid w:val="223F443B"/>
    <w:rsid w:val="22D74067"/>
    <w:rsid w:val="2303547D"/>
    <w:rsid w:val="23C11809"/>
    <w:rsid w:val="24845E93"/>
    <w:rsid w:val="24A216A6"/>
    <w:rsid w:val="24C44135"/>
    <w:rsid w:val="2529282F"/>
    <w:rsid w:val="25C03298"/>
    <w:rsid w:val="25C1363B"/>
    <w:rsid w:val="25DD323A"/>
    <w:rsid w:val="25EC4A4B"/>
    <w:rsid w:val="261C5798"/>
    <w:rsid w:val="2630346C"/>
    <w:rsid w:val="26DB7B54"/>
    <w:rsid w:val="27121A1F"/>
    <w:rsid w:val="282024F2"/>
    <w:rsid w:val="282836D2"/>
    <w:rsid w:val="28604B75"/>
    <w:rsid w:val="2908561F"/>
    <w:rsid w:val="294854C0"/>
    <w:rsid w:val="29D658FB"/>
    <w:rsid w:val="2AE21E1E"/>
    <w:rsid w:val="2B363246"/>
    <w:rsid w:val="2B5D4DA9"/>
    <w:rsid w:val="2C065E68"/>
    <w:rsid w:val="2C152862"/>
    <w:rsid w:val="2C797C58"/>
    <w:rsid w:val="2C956634"/>
    <w:rsid w:val="2CAC6259"/>
    <w:rsid w:val="2CB10F07"/>
    <w:rsid w:val="2CF84B28"/>
    <w:rsid w:val="2CFF7EE5"/>
    <w:rsid w:val="2D2F628D"/>
    <w:rsid w:val="2D68262A"/>
    <w:rsid w:val="2D8F5880"/>
    <w:rsid w:val="2DDB30C8"/>
    <w:rsid w:val="2ECE71D8"/>
    <w:rsid w:val="304709FE"/>
    <w:rsid w:val="30873011"/>
    <w:rsid w:val="30CA3D76"/>
    <w:rsid w:val="3192594D"/>
    <w:rsid w:val="32600E2A"/>
    <w:rsid w:val="32A66524"/>
    <w:rsid w:val="32DC2281"/>
    <w:rsid w:val="330C1935"/>
    <w:rsid w:val="343F0843"/>
    <w:rsid w:val="34B1387C"/>
    <w:rsid w:val="351A7ABC"/>
    <w:rsid w:val="35635518"/>
    <w:rsid w:val="35680161"/>
    <w:rsid w:val="36641203"/>
    <w:rsid w:val="36E3211C"/>
    <w:rsid w:val="37F952C8"/>
    <w:rsid w:val="380C2E83"/>
    <w:rsid w:val="38186C0B"/>
    <w:rsid w:val="38371749"/>
    <w:rsid w:val="38495130"/>
    <w:rsid w:val="38A73B09"/>
    <w:rsid w:val="38DF4F39"/>
    <w:rsid w:val="38EE34C0"/>
    <w:rsid w:val="39254F3E"/>
    <w:rsid w:val="3A5C3144"/>
    <w:rsid w:val="3A6C755A"/>
    <w:rsid w:val="3A756EAE"/>
    <w:rsid w:val="3A9721AC"/>
    <w:rsid w:val="3B2E37B1"/>
    <w:rsid w:val="3B683B07"/>
    <w:rsid w:val="3B7B17B6"/>
    <w:rsid w:val="3BB36232"/>
    <w:rsid w:val="3C2564BB"/>
    <w:rsid w:val="3CA95CCE"/>
    <w:rsid w:val="3CD2271B"/>
    <w:rsid w:val="3CD60CF3"/>
    <w:rsid w:val="3D3D61A4"/>
    <w:rsid w:val="3DE94EFA"/>
    <w:rsid w:val="3E137833"/>
    <w:rsid w:val="3E5C100F"/>
    <w:rsid w:val="3EDA6222"/>
    <w:rsid w:val="3FCB22B0"/>
    <w:rsid w:val="40182ABB"/>
    <w:rsid w:val="4044147E"/>
    <w:rsid w:val="40D01062"/>
    <w:rsid w:val="4174145F"/>
    <w:rsid w:val="4203015A"/>
    <w:rsid w:val="43441DEB"/>
    <w:rsid w:val="43710A36"/>
    <w:rsid w:val="44D6347B"/>
    <w:rsid w:val="44D7779F"/>
    <w:rsid w:val="45562AD0"/>
    <w:rsid w:val="45A91255"/>
    <w:rsid w:val="462D3213"/>
    <w:rsid w:val="47125B6F"/>
    <w:rsid w:val="47126E8A"/>
    <w:rsid w:val="476D07C1"/>
    <w:rsid w:val="477957E1"/>
    <w:rsid w:val="482A728F"/>
    <w:rsid w:val="493C1AF2"/>
    <w:rsid w:val="4A826ECA"/>
    <w:rsid w:val="4AB32B04"/>
    <w:rsid w:val="4ADA0BDD"/>
    <w:rsid w:val="4B2D2BE6"/>
    <w:rsid w:val="4B3D75FD"/>
    <w:rsid w:val="4BC73CDE"/>
    <w:rsid w:val="4BC81760"/>
    <w:rsid w:val="4C893D9C"/>
    <w:rsid w:val="4C8F21E7"/>
    <w:rsid w:val="4CEC0C86"/>
    <w:rsid w:val="4D1A4990"/>
    <w:rsid w:val="4D517EC4"/>
    <w:rsid w:val="4DB6480E"/>
    <w:rsid w:val="4E3F1A3D"/>
    <w:rsid w:val="4EC917E6"/>
    <w:rsid w:val="4EEE450B"/>
    <w:rsid w:val="4F6A76D8"/>
    <w:rsid w:val="4F826087"/>
    <w:rsid w:val="50B31F53"/>
    <w:rsid w:val="50C75416"/>
    <w:rsid w:val="50F30F79"/>
    <w:rsid w:val="51706595"/>
    <w:rsid w:val="5217692E"/>
    <w:rsid w:val="52451276"/>
    <w:rsid w:val="524C5212"/>
    <w:rsid w:val="52551C57"/>
    <w:rsid w:val="52807E6D"/>
    <w:rsid w:val="52F50261"/>
    <w:rsid w:val="52F543A6"/>
    <w:rsid w:val="542B731D"/>
    <w:rsid w:val="556B4532"/>
    <w:rsid w:val="55CB3ECF"/>
    <w:rsid w:val="5621068C"/>
    <w:rsid w:val="56E65920"/>
    <w:rsid w:val="56F03CB1"/>
    <w:rsid w:val="575177BB"/>
    <w:rsid w:val="579145F2"/>
    <w:rsid w:val="57BC002D"/>
    <w:rsid w:val="57F225CC"/>
    <w:rsid w:val="57F47422"/>
    <w:rsid w:val="5841015B"/>
    <w:rsid w:val="58957134"/>
    <w:rsid w:val="589967D1"/>
    <w:rsid w:val="589A54EA"/>
    <w:rsid w:val="58B403AE"/>
    <w:rsid w:val="58E46088"/>
    <w:rsid w:val="5A5968D6"/>
    <w:rsid w:val="5A5D71D1"/>
    <w:rsid w:val="5B4645AF"/>
    <w:rsid w:val="5C2610B6"/>
    <w:rsid w:val="5C813653"/>
    <w:rsid w:val="5C825851"/>
    <w:rsid w:val="5CF67827"/>
    <w:rsid w:val="5D2F7B31"/>
    <w:rsid w:val="5D8416F7"/>
    <w:rsid w:val="5DAB1E3B"/>
    <w:rsid w:val="5E8534B5"/>
    <w:rsid w:val="610F25EF"/>
    <w:rsid w:val="61F234B5"/>
    <w:rsid w:val="61F9458C"/>
    <w:rsid w:val="62650996"/>
    <w:rsid w:val="626D6645"/>
    <w:rsid w:val="628B4E13"/>
    <w:rsid w:val="62E07DF6"/>
    <w:rsid w:val="636F3A18"/>
    <w:rsid w:val="638336A4"/>
    <w:rsid w:val="64144DE9"/>
    <w:rsid w:val="644D2BDF"/>
    <w:rsid w:val="65B57720"/>
    <w:rsid w:val="66195B93"/>
    <w:rsid w:val="66DB514B"/>
    <w:rsid w:val="682135D3"/>
    <w:rsid w:val="686B23DF"/>
    <w:rsid w:val="687D4866"/>
    <w:rsid w:val="68AB76DF"/>
    <w:rsid w:val="68BC7DA3"/>
    <w:rsid w:val="68BF4255"/>
    <w:rsid w:val="68C00F99"/>
    <w:rsid w:val="690470DA"/>
    <w:rsid w:val="6AB4579C"/>
    <w:rsid w:val="6B487FD6"/>
    <w:rsid w:val="6B4B3424"/>
    <w:rsid w:val="6B5424D8"/>
    <w:rsid w:val="6BEA4E88"/>
    <w:rsid w:val="6C305543"/>
    <w:rsid w:val="6CBE48F7"/>
    <w:rsid w:val="6D763CAB"/>
    <w:rsid w:val="6E44457D"/>
    <w:rsid w:val="6E842F5E"/>
    <w:rsid w:val="6F0907D9"/>
    <w:rsid w:val="6F607449"/>
    <w:rsid w:val="6F9406F7"/>
    <w:rsid w:val="7065127C"/>
    <w:rsid w:val="708827A5"/>
    <w:rsid w:val="71AC58D0"/>
    <w:rsid w:val="721944C5"/>
    <w:rsid w:val="738665D9"/>
    <w:rsid w:val="739772FC"/>
    <w:rsid w:val="75080C0F"/>
    <w:rsid w:val="751E2DB2"/>
    <w:rsid w:val="75EE1A0C"/>
    <w:rsid w:val="75FB1829"/>
    <w:rsid w:val="76903014"/>
    <w:rsid w:val="78A321D2"/>
    <w:rsid w:val="79416709"/>
    <w:rsid w:val="799C1ED9"/>
    <w:rsid w:val="79A770DE"/>
    <w:rsid w:val="7A03204D"/>
    <w:rsid w:val="7A6E0CA3"/>
    <w:rsid w:val="7A724AA8"/>
    <w:rsid w:val="7A7509DC"/>
    <w:rsid w:val="7A7957AE"/>
    <w:rsid w:val="7AA0469E"/>
    <w:rsid w:val="7AB61D86"/>
    <w:rsid w:val="7B086666"/>
    <w:rsid w:val="7B6E3D14"/>
    <w:rsid w:val="7B76251D"/>
    <w:rsid w:val="7B831833"/>
    <w:rsid w:val="7B9E325B"/>
    <w:rsid w:val="7BAA2180"/>
    <w:rsid w:val="7BE27B62"/>
    <w:rsid w:val="7BEC59DF"/>
    <w:rsid w:val="7C3F1B77"/>
    <w:rsid w:val="7CAA3813"/>
    <w:rsid w:val="7CB110A9"/>
    <w:rsid w:val="7D276660"/>
    <w:rsid w:val="7D6A3C51"/>
    <w:rsid w:val="7D7D607E"/>
    <w:rsid w:val="7E046FB3"/>
    <w:rsid w:val="7E6E6290"/>
    <w:rsid w:val="7EFC0B65"/>
    <w:rsid w:val="7F560AEA"/>
    <w:rsid w:val="7F744F76"/>
    <w:rsid w:val="7FAB4E13"/>
    <w:rsid w:val="7FDB6D5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2"/>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qFormat/>
    <w:uiPriority w:val="0"/>
    <w:rPr>
      <w:color w:val="0563C1"/>
      <w:u w:val="single"/>
    </w:rPr>
  </w:style>
  <w:style w:type="character" w:styleId="11">
    <w:name w:val="annotation reference"/>
    <w:unhideWhenUsed/>
    <w:qFormat/>
    <w:uiPriority w:val="99"/>
    <w:rPr>
      <w:sz w:val="21"/>
      <w:szCs w:val="21"/>
    </w:rPr>
  </w:style>
  <w:style w:type="character" w:customStyle="1" w:styleId="12">
    <w:name w:val="批注框文本 字符"/>
    <w:link w:val="3"/>
    <w:qFormat/>
    <w:uiPriority w:val="0"/>
    <w:rPr>
      <w:rFonts w:ascii="Times New Roman" w:hAnsi="Times New Roman"/>
      <w:kern w:val="2"/>
      <w:sz w:val="18"/>
      <w:szCs w:val="18"/>
    </w:rPr>
  </w:style>
  <w:style w:type="character" w:customStyle="1" w:styleId="13">
    <w:name w:val="页眉 字符"/>
    <w:link w:val="5"/>
    <w:qFormat/>
    <w:uiPriority w:val="0"/>
    <w:rPr>
      <w:rFonts w:ascii="Times New Roman" w:hAnsi="Times New Roman"/>
      <w:kern w:val="2"/>
      <w:sz w:val="18"/>
      <w:szCs w:val="18"/>
    </w:rPr>
  </w:style>
  <w:style w:type="paragraph" w:customStyle="1" w:styleId="14">
    <w:name w:val="msonormalcxspmiddle"/>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5">
    <w:name w:val="_Style 12"/>
    <w:unhideWhenUsed/>
    <w:qFormat/>
    <w:uiPriority w:val="99"/>
    <w:rPr>
      <w:rFonts w:ascii="Times New Roman" w:hAnsi="Times New Roman" w:eastAsia="宋体" w:cs="Times New Roman"/>
      <w:kern w:val="2"/>
      <w:sz w:val="21"/>
      <w:lang w:val="en-US" w:eastAsia="zh-CN" w:bidi="ar-SA"/>
    </w:rPr>
  </w:style>
  <w:style w:type="paragraph" w:customStyle="1" w:styleId="16">
    <w:name w:val="Table Paragraph"/>
    <w:basedOn w:val="1"/>
    <w:qFormat/>
    <w:uiPriority w:val="1"/>
    <w:pPr>
      <w:autoSpaceDE w:val="0"/>
      <w:autoSpaceDN w:val="0"/>
      <w:adjustRightInd w:val="0"/>
      <w:jc w:val="left"/>
    </w:pPr>
    <w:rPr>
      <w:kern w:val="0"/>
      <w:sz w:val="24"/>
      <w:szCs w:val="24"/>
    </w:rPr>
  </w:style>
  <w:style w:type="paragraph" w:styleId="17">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16148</Words>
  <Characters>16470</Characters>
  <Lines>122</Lines>
  <Paragraphs>34</Paragraphs>
  <TotalTime>1</TotalTime>
  <ScaleCrop>false</ScaleCrop>
  <LinksUpToDate>false</LinksUpToDate>
  <CharactersWithSpaces>16762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2026-08-28T07:20:15Z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67FD44D6B1A94917897B550909CD9A59</vt:lpwstr>
  </property>
  <property fmtid="{D5CDD505-2E9C-101B-9397-08002B2CF9AE}" pid="4" name="KSOTemplateDocerSaveRecord">
    <vt:lpwstr>eyJoZGlkIjoiM2U0YjRkNWE3M2M2MTQyMDQ4YTlmZmJkYWRhYjVhNzUiLCJ1c2VySWQiOiIxNzM3MDY1MDY5In0=</vt:lpwstr>
  </property>
</Properties>
</file>