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bookmarkStart w:id="0" w:name="_GoBack"/>
      <w:bookmarkEnd w:id="0"/>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20025</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温盈”</w:t>
      </w:r>
      <w:r>
        <w:rPr>
          <w:rFonts w:hint="eastAsia"/>
          <w:color w:val="000000"/>
          <w:szCs w:val="21"/>
          <w:highlight w:val="none"/>
          <w:u w:val="single"/>
        </w:rPr>
        <w:t>20025</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“金鹿理财-温盈”20025号开放式净值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color w:val="000000"/>
          <w:szCs w:val="21"/>
          <w:highlight w:val="none"/>
        </w:rPr>
        <w:t>三、本风险揭示书及《温州银行“金鹿理财-温盈”20025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温盈”20025号开放式净值型银行理财计划产品说明书》、《温州银行“金鹿理财-温盈”20025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0"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20025</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温盈”20025号开放式净值型银行理财计划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“金鹿理财-温盈”</w:t>
            </w:r>
            <w:r>
              <w:rPr>
                <w:rFonts w:hint="eastAsia"/>
                <w:color w:val="000000"/>
                <w:sz w:val="18"/>
                <w:szCs w:val="18"/>
                <w:highlight w:val="none"/>
                <w:u w:val="single"/>
              </w:rPr>
              <w:t>20025</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YJ2025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C1092220000076</w:t>
            </w:r>
          </w:p>
          <w:p>
            <w:pPr>
              <w:pStyle w:val="14"/>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2020年3月9日</w:t>
            </w:r>
            <w:r>
              <w:rPr>
                <w:rFonts w:hint="eastAsia"/>
                <w:sz w:val="18"/>
                <w:szCs w:val="18"/>
                <w:u w:val="single"/>
              </w:rPr>
              <w:t>至</w:t>
            </w:r>
            <w:r>
              <w:rPr>
                <w:rFonts w:hint="eastAsia"/>
                <w:color w:val="000000"/>
                <w:sz w:val="18"/>
                <w:szCs w:val="18"/>
                <w:u w:val="single"/>
                <w:lang w:val="en-US" w:eastAsia="zh-CN"/>
              </w:rPr>
              <w:t>2020年3月16日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首个投资运作周期的业绩比较基准为4.35%（年化）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温州银行官方网站或电子银行等信息平台进行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本理财计划成立日为2020年3月17日。温州银行有权根据实际募集情况选择产品提前成立，若温州银行采取以上措施，温州银行将就产品相应要素的调整事宜于提前成立日前的一个工作日在温州银行网站予以公告。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183</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183</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《温州银行“金鹿理财-温盈”20025号开放式净值型（第i期）银行理财计划开放认购（申购）申请书》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b/>
                <w:sz w:val="18"/>
                <w:szCs w:val="18"/>
                <w:highlight w:val="none"/>
              </w:rPr>
            </w:pPr>
            <w:r>
              <w:rPr>
                <w:rFonts w:hint="eastAsia" w:cs="Times New Roman"/>
                <w:b w:val="0"/>
                <w:bCs/>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vAlign w:val="top"/>
          </w:tcPr>
          <w:p>
            <w:pPr>
              <w:adjustRightInd w:val="0"/>
              <w:snapToGrid w:val="0"/>
              <w:spacing w:line="286" w:lineRule="auto"/>
              <w:jc w:val="center"/>
              <w:rPr>
                <w:rFonts w:hint="eastAsia" w:ascii="Times New Roman" w:hAnsi="Times New Roman" w:eastAsia="宋体" w:cs="Times New Roman"/>
                <w:kern w:val="2"/>
                <w:sz w:val="18"/>
                <w:szCs w:val="18"/>
                <w:highlight w:val="none"/>
                <w:vertAlign w:val="baseline"/>
                <w:lang w:val="en-US" w:eastAsia="zh-CN" w:bidi="ar-SA"/>
              </w:rPr>
            </w:pPr>
            <w:r>
              <w:rPr>
                <w:rFonts w:hint="eastAsia" w:ascii="宋体" w:hAnsi="宋体" w:eastAsia="宋体" w:cs="宋体"/>
                <w:i w:val="0"/>
                <w:iCs w:val="0"/>
                <w:color w:val="000000"/>
                <w:kern w:val="0"/>
                <w:sz w:val="18"/>
                <w:szCs w:val="18"/>
                <w:u w:val="none"/>
                <w:lang w:val="en-US" w:eastAsia="zh-CN" w:bidi="ar"/>
              </w:rPr>
              <w:t>2.0</w:t>
            </w:r>
            <w:r>
              <w:rPr>
                <w:rFonts w:hint="eastAsia" w:ascii="宋体" w:hAnsi="宋体" w:cs="宋体"/>
                <w:i w:val="0"/>
                <w:iCs w:val="0"/>
                <w:color w:val="000000"/>
                <w:kern w:val="0"/>
                <w:sz w:val="18"/>
                <w:szCs w:val="18"/>
                <w:u w:val="none"/>
                <w:lang w:val="en-US" w:eastAsia="zh-CN" w:bidi="ar"/>
              </w:rPr>
              <w:t>0</w:t>
            </w:r>
            <w:r>
              <w:rPr>
                <w:rFonts w:hint="eastAsia" w:ascii="宋体" w:hAnsi="宋体" w:eastAsia="宋体" w:cs="宋体"/>
                <w:i w:val="0"/>
                <w:iCs w:val="0"/>
                <w:color w:val="000000"/>
                <w:kern w:val="0"/>
                <w:sz w:val="18"/>
                <w:szCs w:val="18"/>
                <w:u w:val="none"/>
                <w:lang w:val="en-US" w:eastAsia="zh-CN" w:bidi="ar"/>
              </w:rPr>
              <w:t>%-2.3</w:t>
            </w:r>
            <w:r>
              <w:rPr>
                <w:rFonts w:hint="eastAsia" w:ascii="宋体" w:hAnsi="宋体" w:cs="宋体"/>
                <w:i w:val="0"/>
                <w:iCs w:val="0"/>
                <w:color w:val="000000"/>
                <w:kern w:val="0"/>
                <w:sz w:val="18"/>
                <w:szCs w:val="18"/>
                <w:u w:val="none"/>
                <w:lang w:val="en-US" w:eastAsia="zh-CN" w:bidi="ar"/>
              </w:rPr>
              <w:t>0</w:t>
            </w:r>
            <w:r>
              <w:rPr>
                <w:rFonts w:hint="eastAsia" w:ascii="宋体" w:hAnsi="宋体" w:eastAsia="宋体" w:cs="宋体"/>
                <w:i w:val="0"/>
                <w:iCs w:val="0"/>
                <w:color w:val="000000"/>
                <w:kern w:val="0"/>
                <w:sz w:val="18"/>
                <w:szCs w:val="18"/>
                <w:u w:val="none"/>
                <w:lang w:val="en-US" w:eastAsia="zh-CN" w:bidi="ar"/>
              </w:rPr>
              <w:t>%</w:t>
            </w:r>
          </w:p>
        </w:tc>
        <w:tc>
          <w:tcPr>
            <w:tcW w:w="2500" w:type="pct"/>
            <w:vAlign w:val="top"/>
          </w:tcPr>
          <w:p>
            <w:pPr>
              <w:adjustRightInd w:val="0"/>
              <w:snapToGrid w:val="0"/>
              <w:spacing w:line="286" w:lineRule="auto"/>
              <w:jc w:val="center"/>
              <w:rPr>
                <w:rFonts w:hint="eastAsia" w:ascii="Times New Roman" w:hAnsi="Times New Roman" w:eastAsia="宋体" w:cs="Times New Roman"/>
                <w:kern w:val="2"/>
                <w:sz w:val="18"/>
                <w:szCs w:val="18"/>
                <w:highlight w:val="none"/>
                <w:vertAlign w:val="baseline"/>
                <w:lang w:val="en-US" w:eastAsia="zh-CN" w:bidi="ar-SA"/>
              </w:rPr>
            </w:pPr>
            <w:r>
              <w:rPr>
                <w:rFonts w:hint="eastAsia" w:ascii="宋体" w:hAnsi="宋体" w:eastAsia="宋体" w:cs="宋体"/>
                <w:i w:val="0"/>
                <w:iCs w:val="0"/>
                <w:color w:val="000000"/>
                <w:kern w:val="0"/>
                <w:sz w:val="18"/>
                <w:szCs w:val="18"/>
                <w:u w:val="none"/>
                <w:lang w:val="en-US" w:eastAsia="zh-CN" w:bidi="ar"/>
              </w:rPr>
              <w:t>2026年</w:t>
            </w:r>
            <w:r>
              <w:rPr>
                <w:rFonts w:hint="eastAsia" w:ascii="宋体" w:hAnsi="宋体" w:cs="宋体"/>
                <w:i w:val="0"/>
                <w:iCs w:val="0"/>
                <w:color w:val="000000"/>
                <w:kern w:val="0"/>
                <w:sz w:val="18"/>
                <w:szCs w:val="18"/>
                <w:u w:val="none"/>
                <w:lang w:val="en-US" w:eastAsia="zh-CN" w:bidi="ar"/>
              </w:rPr>
              <w:t>3</w:t>
            </w:r>
            <w:r>
              <w:rPr>
                <w:rFonts w:hint="eastAsia" w:ascii="宋体" w:hAnsi="宋体" w:eastAsia="宋体" w:cs="宋体"/>
                <w:i w:val="0"/>
                <w:iCs w:val="0"/>
                <w:color w:val="000000"/>
                <w:kern w:val="0"/>
                <w:sz w:val="18"/>
                <w:szCs w:val="18"/>
                <w:u w:val="none"/>
                <w:lang w:val="en-US" w:eastAsia="zh-CN" w:bidi="ar"/>
              </w:rPr>
              <w:t>月</w:t>
            </w:r>
            <w:r>
              <w:rPr>
                <w:rFonts w:hint="eastAsia" w:ascii="宋体" w:hAnsi="宋体" w:cs="宋体"/>
                <w:i w:val="0"/>
                <w:iCs w:val="0"/>
                <w:color w:val="000000"/>
                <w:kern w:val="0"/>
                <w:sz w:val="18"/>
                <w:szCs w:val="18"/>
                <w:u w:val="none"/>
                <w:lang w:val="en-US" w:eastAsia="zh-CN" w:bidi="ar"/>
              </w:rPr>
              <w:t>11</w:t>
            </w:r>
            <w:r>
              <w:rPr>
                <w:rFonts w:hint="eastAsia" w:ascii="宋体" w:hAnsi="宋体" w:eastAsia="宋体" w:cs="宋体"/>
                <w:i w:val="0"/>
                <w:iCs w:val="0"/>
                <w:color w:val="000000"/>
                <w:kern w:val="0"/>
                <w:sz w:val="18"/>
                <w:szCs w:val="18"/>
                <w:u w:val="none"/>
                <w:lang w:val="en-US" w:eastAsia="zh-CN" w:bidi="ar"/>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jc w:val="center"/>
              <w:rPr>
                <w:rFonts w:hint="eastAsia"/>
                <w:sz w:val="18"/>
                <w:szCs w:val="18"/>
                <w:highlight w:val="none"/>
                <w:vertAlign w:val="baseline"/>
                <w:lang w:eastAsia="zh-CN"/>
              </w:rPr>
            </w:pPr>
            <w:r>
              <w:rPr>
                <w:rFonts w:hint="eastAsia" w:ascii="宋体" w:hAnsi="宋体" w:eastAsia="宋体" w:cs="宋体"/>
                <w:i w:val="0"/>
                <w:iCs w:val="0"/>
                <w:color w:val="000000"/>
                <w:kern w:val="0"/>
                <w:sz w:val="18"/>
                <w:szCs w:val="18"/>
                <w:u w:val="none"/>
                <w:lang w:val="en-US" w:eastAsia="zh-CN" w:bidi="ar"/>
              </w:rPr>
              <w:t>2.05%-2.35%</w:t>
            </w:r>
          </w:p>
        </w:tc>
        <w:tc>
          <w:tcPr>
            <w:tcW w:w="2500" w:type="pct"/>
          </w:tcPr>
          <w:p>
            <w:pPr>
              <w:adjustRightInd w:val="0"/>
              <w:snapToGrid w:val="0"/>
              <w:spacing w:line="286" w:lineRule="auto"/>
              <w:jc w:val="center"/>
              <w:rPr>
                <w:rFonts w:hint="eastAsia"/>
                <w:sz w:val="18"/>
                <w:szCs w:val="18"/>
                <w:highlight w:val="none"/>
                <w:vertAlign w:val="baseline"/>
                <w:lang w:eastAsia="zh-CN"/>
              </w:rPr>
            </w:pPr>
            <w:r>
              <w:rPr>
                <w:rFonts w:hint="eastAsia" w:ascii="宋体" w:hAnsi="宋体" w:eastAsia="宋体" w:cs="宋体"/>
                <w:i w:val="0"/>
                <w:iCs w:val="0"/>
                <w:color w:val="000000"/>
                <w:kern w:val="0"/>
                <w:sz w:val="18"/>
                <w:szCs w:val="18"/>
                <w:u w:val="none"/>
                <w:lang w:val="en-US" w:eastAsia="zh-CN" w:bidi="ar"/>
              </w:rPr>
              <w:t>2026年9月9日</w:t>
            </w: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宁波银行股份有限公司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浙江省宁波市鄞州区宁东路345号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sz w:val="18"/>
          <w:szCs w:val="18"/>
          <w:highlight w:val="none"/>
        </w:rPr>
      </w:pPr>
    </w:p>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《温州银行“金鹿理财-温盈”20025号开放式净值型（第i期）银行理财计划开放认购（申购）申请书》。投资运作周期到期时，该周期内的资金收益情况根据所投资资产组合的实际运作情况确定。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：本理财计划成立日为2020年3月17日，从成立日起，每</w:t>
      </w:r>
      <w:r>
        <w:rPr>
          <w:rFonts w:ascii="宋体" w:hAnsi="宋体"/>
          <w:sz w:val="18"/>
          <w:highlight w:val="none"/>
        </w:rPr>
        <w:t>【</w:t>
      </w:r>
      <w:r>
        <w:rPr>
          <w:rFonts w:hint="eastAsia" w:ascii="宋体" w:hAnsi="宋体"/>
          <w:color w:val="000000"/>
          <w:sz w:val="18"/>
          <w:highlight w:val="none"/>
        </w:rPr>
        <w:t>183</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183</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lang w:eastAsia="zh-Hans"/>
        </w:rPr>
        <w:t>千</w:t>
      </w:r>
      <w:r>
        <w:rPr>
          <w:rFonts w:hint="eastAsia"/>
          <w:sz w:val="18"/>
          <w:szCs w:val="18"/>
          <w:highlight w:val="none"/>
        </w:rPr>
        <w:t>元或人民币</w:t>
      </w:r>
      <w:r>
        <w:rPr>
          <w:sz w:val="18"/>
          <w:szCs w:val="18"/>
          <w:highlight w:val="none"/>
        </w:rPr>
        <w:t>1</w:t>
      </w:r>
      <w:r>
        <w:rPr>
          <w:rFonts w:hint="eastAsia"/>
          <w:sz w:val="18"/>
          <w:szCs w:val="18"/>
          <w:highlight w:val="none"/>
          <w:lang w:eastAsia="zh-Hans"/>
        </w:rPr>
        <w:t>千</w:t>
      </w:r>
      <w:r>
        <w:rPr>
          <w:rFonts w:hint="eastAsia"/>
          <w:sz w:val="18"/>
          <w:szCs w:val="18"/>
          <w:highlight w:val="none"/>
        </w:rPr>
        <w:t>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理财计划采用“份额赎回”方式，赎回价格以赎回确认日前一自然日的理财计划份额净值为基准进行计算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sz w:val="18"/>
          <w:szCs w:val="18"/>
          <w:highlight w:val="none"/>
        </w:rPr>
      </w:pPr>
      <w:r>
        <w:rPr>
          <w:rFonts w:hint="eastAsia"/>
          <w:color w:val="000000"/>
          <w:sz w:val="18"/>
          <w:szCs w:val="18"/>
          <w:highlight w:val="none"/>
        </w:rPr>
        <w:t>本产品预计到期终止日为2030年3月17日</w:t>
      </w:r>
      <w:r>
        <w:rPr>
          <w:rFonts w:hint="eastAsia"/>
          <w:color w:val="000000"/>
          <w:sz w:val="18"/>
          <w:highlight w:val="none"/>
        </w:rPr>
        <w:t>，</w:t>
      </w:r>
      <w:r>
        <w:rPr>
          <w:rFonts w:hint="eastAsia"/>
          <w:sz w:val="18"/>
          <w:szCs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sz w:val="18"/>
          <w:szCs w:val="18"/>
          <w:highlight w:val="none"/>
        </w:rPr>
      </w:pPr>
      <w:r>
        <w:rPr>
          <w:rFonts w:hint="eastAsia"/>
          <w:sz w:val="18"/>
          <w:szCs w:val="18"/>
          <w:highlight w:val="none"/>
          <w:lang w:val="en-US" w:eastAsia="zh-CN"/>
        </w:rPr>
        <w:t>理财计划运作周期到期日收益</w:t>
      </w: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sz w:val="18"/>
          <w:szCs w:val="18"/>
          <w:highlight w:val="none"/>
        </w:rPr>
      </w:pPr>
      <w:r>
        <w:rPr>
          <w:rFonts w:hint="eastAsia"/>
          <w:sz w:val="18"/>
          <w:szCs w:val="18"/>
          <w:highlight w:val="none"/>
        </w:rPr>
        <w:t>注：上述公式中“投资运作周期到期日理财产品总净值”为本理财产品资产在扣除托管费、固定管理费、浮动管理费及税费、其他费用等相关费用后计算产生的理财产品总净值。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r>
        <w:rPr>
          <w:rFonts w:hint="eastAsia"/>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highlight w:val="none"/>
          <w:lang w:val="en-US"/>
        </w:rPr>
        <w:t>以及</w:t>
      </w:r>
      <w:r>
        <w:rPr>
          <w:rFonts w:hint="eastAsia"/>
          <w:sz w:val="18"/>
          <w:szCs w:val="18"/>
          <w:highlight w:val="none"/>
        </w:rPr>
        <w:t>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lang w:eastAsia="zh-CN"/>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numPr>
          <w:ilvl w:val="0"/>
          <w:numId w:val="4"/>
        </w:numPr>
        <w:adjustRightInd w:val="0"/>
        <w:snapToGrid w:val="0"/>
        <w:spacing w:line="286" w:lineRule="auto"/>
        <w:rPr>
          <w:sz w:val="18"/>
          <w:szCs w:val="18"/>
          <w:highlight w:val="none"/>
        </w:rPr>
      </w:pPr>
      <w:r>
        <w:rPr>
          <w:rFonts w:hint="eastAsia"/>
          <w:sz w:val="18"/>
          <w:szCs w:val="18"/>
          <w:highlight w:val="none"/>
        </w:rPr>
        <w:t>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温盈”20025号开放式净值型银行理财计划风险揭示书》、《温州银行理财计划合约》、《温州银行“金鹿理财-温盈”20025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p>
      <w:pPr>
        <w:spacing w:line="372" w:lineRule="auto"/>
        <w:rPr>
          <w:rFonts w:ascii="黑体" w:eastAsia="黑体"/>
          <w:sz w:val="30"/>
          <w:szCs w:val="30"/>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WH3S6q3zlk/F+h0SJTMcWjTybFo=" w:salt="44Ae9d6oveU9buCi8Ibq0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241F4C"/>
    <w:rsid w:val="05692ECA"/>
    <w:rsid w:val="06AF5062"/>
    <w:rsid w:val="07B535DA"/>
    <w:rsid w:val="07EC55A4"/>
    <w:rsid w:val="08294507"/>
    <w:rsid w:val="0AB363EF"/>
    <w:rsid w:val="0CEF7946"/>
    <w:rsid w:val="0D055C57"/>
    <w:rsid w:val="0E697CA7"/>
    <w:rsid w:val="0EAA68C9"/>
    <w:rsid w:val="0F1A3EC9"/>
    <w:rsid w:val="0F3A26CB"/>
    <w:rsid w:val="10474F4D"/>
    <w:rsid w:val="10D46D68"/>
    <w:rsid w:val="110A015B"/>
    <w:rsid w:val="11AD367A"/>
    <w:rsid w:val="11FC6491"/>
    <w:rsid w:val="126D7BD7"/>
    <w:rsid w:val="12AF54F8"/>
    <w:rsid w:val="12C37B94"/>
    <w:rsid w:val="12C50DEC"/>
    <w:rsid w:val="15217A25"/>
    <w:rsid w:val="15BD1CB8"/>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1D060D6"/>
    <w:rsid w:val="228F020A"/>
    <w:rsid w:val="243D7238"/>
    <w:rsid w:val="25385D7F"/>
    <w:rsid w:val="2599261F"/>
    <w:rsid w:val="25D455A1"/>
    <w:rsid w:val="26004320"/>
    <w:rsid w:val="284D2E1D"/>
    <w:rsid w:val="285844AB"/>
    <w:rsid w:val="29E93B84"/>
    <w:rsid w:val="2DC35A21"/>
    <w:rsid w:val="2F9C0B2A"/>
    <w:rsid w:val="2FDE6441"/>
    <w:rsid w:val="30633262"/>
    <w:rsid w:val="306F7311"/>
    <w:rsid w:val="30AB0CE7"/>
    <w:rsid w:val="31253F01"/>
    <w:rsid w:val="327E6664"/>
    <w:rsid w:val="32837129"/>
    <w:rsid w:val="33157C11"/>
    <w:rsid w:val="34B42407"/>
    <w:rsid w:val="35270B41"/>
    <w:rsid w:val="353E2A70"/>
    <w:rsid w:val="35EA1207"/>
    <w:rsid w:val="366C33D7"/>
    <w:rsid w:val="36E42715"/>
    <w:rsid w:val="37965442"/>
    <w:rsid w:val="382F302B"/>
    <w:rsid w:val="38747519"/>
    <w:rsid w:val="388E3C7C"/>
    <w:rsid w:val="38E45900"/>
    <w:rsid w:val="39C8686F"/>
    <w:rsid w:val="3A4851EE"/>
    <w:rsid w:val="3A770E22"/>
    <w:rsid w:val="3B090C09"/>
    <w:rsid w:val="3BE35F9B"/>
    <w:rsid w:val="3D231C22"/>
    <w:rsid w:val="3E113873"/>
    <w:rsid w:val="3EF0533E"/>
    <w:rsid w:val="3F063D4E"/>
    <w:rsid w:val="3FC979F3"/>
    <w:rsid w:val="40076C80"/>
    <w:rsid w:val="4026664B"/>
    <w:rsid w:val="421B7FF4"/>
    <w:rsid w:val="42526821"/>
    <w:rsid w:val="4275406E"/>
    <w:rsid w:val="42A87CFF"/>
    <w:rsid w:val="43B55CF6"/>
    <w:rsid w:val="47643176"/>
    <w:rsid w:val="47F32BE2"/>
    <w:rsid w:val="496F6480"/>
    <w:rsid w:val="497C717E"/>
    <w:rsid w:val="49815F2A"/>
    <w:rsid w:val="49C633C6"/>
    <w:rsid w:val="4A2E173D"/>
    <w:rsid w:val="4ABC78E8"/>
    <w:rsid w:val="4BDD7CC5"/>
    <w:rsid w:val="4C26757B"/>
    <w:rsid w:val="4C4B4443"/>
    <w:rsid w:val="4C8807EB"/>
    <w:rsid w:val="4DF26BF1"/>
    <w:rsid w:val="4ED34292"/>
    <w:rsid w:val="4FC865FE"/>
    <w:rsid w:val="51FA7F99"/>
    <w:rsid w:val="524916E3"/>
    <w:rsid w:val="52544188"/>
    <w:rsid w:val="53EB39EC"/>
    <w:rsid w:val="55312E83"/>
    <w:rsid w:val="55CE1987"/>
    <w:rsid w:val="55EF3F6F"/>
    <w:rsid w:val="576363EF"/>
    <w:rsid w:val="58780E48"/>
    <w:rsid w:val="58E62499"/>
    <w:rsid w:val="59647D3E"/>
    <w:rsid w:val="597C685E"/>
    <w:rsid w:val="5A250F91"/>
    <w:rsid w:val="5A6516AD"/>
    <w:rsid w:val="5B8F5673"/>
    <w:rsid w:val="5CC812FA"/>
    <w:rsid w:val="5CCC65F5"/>
    <w:rsid w:val="5DA417E6"/>
    <w:rsid w:val="5E821239"/>
    <w:rsid w:val="5F650D3C"/>
    <w:rsid w:val="60675196"/>
    <w:rsid w:val="61AE7F1D"/>
    <w:rsid w:val="637E1589"/>
    <w:rsid w:val="658E5B8D"/>
    <w:rsid w:val="673B772F"/>
    <w:rsid w:val="686A13AA"/>
    <w:rsid w:val="690F109F"/>
    <w:rsid w:val="697F213B"/>
    <w:rsid w:val="6CA0717C"/>
    <w:rsid w:val="6D657193"/>
    <w:rsid w:val="6F0A3BD3"/>
    <w:rsid w:val="72B3716D"/>
    <w:rsid w:val="73E45411"/>
    <w:rsid w:val="74B84FF6"/>
    <w:rsid w:val="74CF1C9F"/>
    <w:rsid w:val="75DB7FD5"/>
    <w:rsid w:val="75F7452C"/>
    <w:rsid w:val="769A561B"/>
    <w:rsid w:val="77D232A2"/>
    <w:rsid w:val="78115854"/>
    <w:rsid w:val="78BB101F"/>
    <w:rsid w:val="78EE0575"/>
    <w:rsid w:val="7BDD1E8F"/>
    <w:rsid w:val="7BF13C4F"/>
    <w:rsid w:val="7C69082B"/>
    <w:rsid w:val="7DDE5540"/>
    <w:rsid w:val="7DE500BC"/>
    <w:rsid w:val="7E1750DA"/>
    <w:rsid w:val="7E8B4C0D"/>
    <w:rsid w:val="7F9D7069"/>
    <w:rsid w:val="7FBE7774"/>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unhideWhenUsed/>
    <w:qFormat/>
    <w:uiPriority w:val="99"/>
    <w:pPr>
      <w:jc w:val="left"/>
    </w:pPr>
  </w:style>
  <w:style w:type="paragraph" w:styleId="3">
    <w:name w:val="Balloon Text"/>
    <w:basedOn w:val="1"/>
    <w:link w:val="15"/>
    <w:unhideWhenUsed/>
    <w:qFormat/>
    <w:uiPriority w:val="99"/>
    <w:rPr>
      <w:sz w:val="18"/>
      <w:szCs w:val="18"/>
    </w:rPr>
  </w:style>
  <w:style w:type="paragraph" w:styleId="4">
    <w:name w:val="footer"/>
    <w:basedOn w:val="1"/>
    <w:link w:val="18"/>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7"/>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9"/>
    <w:unhideWhenUsed/>
    <w:qFormat/>
    <w:uiPriority w:val="99"/>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5">
    <w:name w:val="批注框文本 字符"/>
    <w:link w:val="3"/>
    <w:semiHidden/>
    <w:qFormat/>
    <w:uiPriority w:val="99"/>
    <w:rPr>
      <w:rFonts w:ascii="Times New Roman" w:hAnsi="Times New Roman"/>
      <w:kern w:val="2"/>
      <w:sz w:val="18"/>
      <w:szCs w:val="18"/>
    </w:rPr>
  </w:style>
  <w:style w:type="character" w:customStyle="1" w:styleId="16">
    <w:name w:val="批注文字 字符"/>
    <w:link w:val="2"/>
    <w:semiHidden/>
    <w:qFormat/>
    <w:uiPriority w:val="99"/>
    <w:rPr>
      <w:rFonts w:ascii="Times New Roman" w:hAnsi="Times New Roman"/>
      <w:kern w:val="2"/>
      <w:sz w:val="21"/>
    </w:rPr>
  </w:style>
  <w:style w:type="character" w:customStyle="1" w:styleId="17">
    <w:name w:val="页眉 字符"/>
    <w:link w:val="5"/>
    <w:semiHidden/>
    <w:qFormat/>
    <w:uiPriority w:val="99"/>
    <w:rPr>
      <w:sz w:val="18"/>
      <w:szCs w:val="18"/>
    </w:rPr>
  </w:style>
  <w:style w:type="character" w:customStyle="1" w:styleId="18">
    <w:name w:val="页脚 字符"/>
    <w:link w:val="4"/>
    <w:qFormat/>
    <w:uiPriority w:val="99"/>
    <w:rPr>
      <w:sz w:val="18"/>
      <w:szCs w:val="18"/>
    </w:rPr>
  </w:style>
  <w:style w:type="character" w:customStyle="1" w:styleId="19">
    <w:name w:val="批注主题 字符"/>
    <w:link w:val="7"/>
    <w:semiHidden/>
    <w:qFormat/>
    <w:uiPriority w:val="99"/>
    <w:rPr>
      <w:rFonts w:ascii="Times New Roman" w:hAnsi="Times New Roman"/>
      <w:b/>
      <w:bCs/>
      <w:kern w:val="2"/>
      <w:sz w:val="21"/>
    </w:rPr>
  </w:style>
  <w:style w:type="paragraph" w:customStyle="1" w:styleId="20">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18308</Words>
  <Characters>18617</Characters>
  <Lines>133</Lines>
  <Paragraphs>37</Paragraphs>
  <TotalTime>0</TotalTime>
  <ScaleCrop>false</ScaleCrop>
  <LinksUpToDate>false</LinksUpToDate>
  <CharactersWithSpaces>18911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2026-08-31T03:03:14Z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