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19013</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19013</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“金鹿理财-温盈”19013号开放式净值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19013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19013号开放式净值型银行理财计划产品说明书》、《温州银行“金鹿理财-温盈”19013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19013</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温盈”19013号开放式净值型银行理财计划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19013</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YJ1013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C1092219000307</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2019年7月25日</w:t>
            </w:r>
            <w:r>
              <w:rPr>
                <w:rFonts w:hint="eastAsia"/>
                <w:sz w:val="18"/>
                <w:szCs w:val="18"/>
                <w:u w:val="single"/>
              </w:rPr>
              <w:t>至</w:t>
            </w:r>
            <w:r>
              <w:rPr>
                <w:rFonts w:hint="eastAsia"/>
                <w:color w:val="000000"/>
                <w:sz w:val="18"/>
                <w:szCs w:val="18"/>
                <w:u w:val="single"/>
                <w:lang w:val="en-US" w:eastAsia="zh-CN"/>
              </w:rPr>
              <w:t>2019年7月30日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首个投资运作周期的业绩比较基准为4.70%（年化）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本理财计划成立日为2019年7月31日。温州银行有权根据实际募集情况选择产品提前成立，若温州银行采取以上措施，温州银行将就产品相应要素的调整事宜于提前成立日前的一个工作日在温州银行网站予以公告。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365</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365</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《温州银行“金鹿理财-温盈”19013号开放式净值型（第i期）银行理财计划开放认购（申购）申请书》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jc w:val="center"/>
              <w:rPr>
                <w:rFonts w:hint="eastAsia"/>
                <w:sz w:val="18"/>
                <w:szCs w:val="18"/>
                <w:highlight w:val="none"/>
                <w:vertAlign w:val="baseline"/>
                <w:lang w:eastAsia="zh-CN"/>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55</w:t>
            </w: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75</w:t>
            </w:r>
            <w:r>
              <w:rPr>
                <w:rFonts w:hint="eastAsia" w:ascii="宋体" w:hAnsi="宋体" w:eastAsia="宋体" w:cs="宋体"/>
                <w:i w:val="0"/>
                <w:iCs w:val="0"/>
                <w:color w:val="000000"/>
                <w:kern w:val="0"/>
                <w:sz w:val="18"/>
                <w:szCs w:val="18"/>
                <w:u w:val="none"/>
                <w:lang w:val="en-US" w:eastAsia="zh-CN" w:bidi="ar"/>
              </w:rPr>
              <w:t>%</w:t>
            </w:r>
          </w:p>
        </w:tc>
        <w:tc>
          <w:tcPr>
            <w:tcW w:w="2500" w:type="pct"/>
          </w:tcPr>
          <w:p>
            <w:pPr>
              <w:adjustRightInd w:val="0"/>
              <w:snapToGrid w:val="0"/>
              <w:spacing w:line="286" w:lineRule="auto"/>
              <w:jc w:val="center"/>
              <w:rPr>
                <w:rFonts w:hint="eastAsia"/>
                <w:sz w:val="18"/>
                <w:szCs w:val="18"/>
                <w:highlight w:val="none"/>
                <w:vertAlign w:val="baseline"/>
                <w:lang w:eastAsia="zh-CN"/>
              </w:rPr>
            </w:pPr>
            <w:r>
              <w:rPr>
                <w:rFonts w:hint="eastAsia" w:ascii="宋体" w:hAnsi="宋体" w:eastAsia="宋体" w:cs="宋体"/>
                <w:i w:val="0"/>
                <w:iCs w:val="0"/>
                <w:color w:val="000000"/>
                <w:kern w:val="0"/>
                <w:sz w:val="18"/>
                <w:szCs w:val="18"/>
                <w:u w:val="none"/>
                <w:lang w:val="en-US" w:eastAsia="zh-CN" w:bidi="ar"/>
              </w:rPr>
              <w:t>202</w:t>
            </w:r>
            <w:r>
              <w:rPr>
                <w:rFonts w:hint="eastAsia" w:ascii="宋体" w:hAnsi="宋体" w:cs="宋体"/>
                <w:i w:val="0"/>
                <w:iCs w:val="0"/>
                <w:color w:val="000000"/>
                <w:kern w:val="0"/>
                <w:sz w:val="18"/>
                <w:szCs w:val="18"/>
                <w:u w:val="none"/>
                <w:lang w:val="en-US" w:eastAsia="zh-CN" w:bidi="ar"/>
              </w:rPr>
              <w:t>5</w:t>
            </w:r>
            <w:r>
              <w:rPr>
                <w:rFonts w:hint="eastAsia" w:ascii="宋体" w:hAnsi="宋体" w:eastAsia="宋体" w:cs="宋体"/>
                <w:i w:val="0"/>
                <w:iCs w:val="0"/>
                <w:color w:val="000000"/>
                <w:kern w:val="0"/>
                <w:sz w:val="18"/>
                <w:szCs w:val="18"/>
                <w:u w:val="none"/>
                <w:lang w:val="en-US" w:eastAsia="zh-CN" w:bidi="ar"/>
              </w:rPr>
              <w:t>年</w:t>
            </w:r>
            <w:r>
              <w:rPr>
                <w:rFonts w:hint="eastAsia" w:ascii="宋体" w:hAnsi="宋体" w:cs="宋体"/>
                <w:i w:val="0"/>
                <w:iCs w:val="0"/>
                <w:color w:val="000000"/>
                <w:kern w:val="0"/>
                <w:sz w:val="18"/>
                <w:szCs w:val="18"/>
                <w:u w:val="none"/>
                <w:lang w:val="en-US" w:eastAsia="zh-CN" w:bidi="ar"/>
              </w:rPr>
              <w:t>8</w:t>
            </w:r>
            <w:r>
              <w:rPr>
                <w:rFonts w:hint="eastAsia" w:ascii="宋体" w:hAnsi="宋体" w:eastAsia="宋体" w:cs="宋体"/>
                <w:i w:val="0"/>
                <w:iCs w:val="0"/>
                <w:color w:val="000000"/>
                <w:kern w:val="0"/>
                <w:sz w:val="18"/>
                <w:szCs w:val="18"/>
                <w:u w:val="none"/>
                <w:lang w:val="en-US" w:eastAsia="zh-CN" w:bidi="ar"/>
              </w:rPr>
              <w:t>月</w:t>
            </w:r>
            <w:r>
              <w:rPr>
                <w:rFonts w:hint="eastAsia" w:ascii="宋体" w:hAnsi="宋体" w:cs="宋体"/>
                <w:i w:val="0"/>
                <w:iCs w:val="0"/>
                <w:color w:val="000000"/>
                <w:kern w:val="0"/>
                <w:sz w:val="18"/>
                <w:szCs w:val="18"/>
                <w:u w:val="none"/>
                <w:lang w:val="en-US" w:eastAsia="zh-CN" w:bidi="ar"/>
              </w:rPr>
              <w:t>27</w:t>
            </w:r>
            <w:r>
              <w:rPr>
                <w:rFonts w:hint="eastAsia" w:ascii="宋体" w:hAnsi="宋体" w:eastAsia="宋体" w:cs="宋体"/>
                <w:i w:val="0"/>
                <w:iCs w:val="0"/>
                <w:color w:val="000000"/>
                <w:kern w:val="0"/>
                <w:sz w:val="18"/>
                <w:szCs w:val="18"/>
                <w:u w:val="none"/>
                <w:lang w:val="en-US" w:eastAsia="zh-CN" w:bidi="ar"/>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2.30%-2.60%</w:t>
            </w:r>
          </w:p>
        </w:tc>
        <w:tc>
          <w:tcPr>
            <w:tcW w:w="2500" w:type="pct"/>
          </w:tcPr>
          <w:p>
            <w:pPr>
              <w:adjustRightInd w:val="0"/>
              <w:snapToGrid w:val="0"/>
              <w:spacing w:line="286" w:lineRule="auto"/>
              <w:jc w:val="center"/>
              <w:rPr>
                <w:rFonts w:hint="eastAsia"/>
                <w:sz w:val="18"/>
                <w:szCs w:val="18"/>
                <w:highlight w:val="none"/>
                <w:vertAlign w:val="baseline"/>
                <w:lang w:eastAsia="zh-CN"/>
              </w:rPr>
            </w:pPr>
            <w:r>
              <w:rPr>
                <w:rFonts w:hint="eastAsia" w:ascii="宋体" w:hAnsi="宋体" w:eastAsia="宋体" w:cs="宋体"/>
                <w:i w:val="0"/>
                <w:iCs w:val="0"/>
                <w:color w:val="000000"/>
                <w:kern w:val="0"/>
                <w:sz w:val="18"/>
                <w:szCs w:val="18"/>
                <w:u w:val="none"/>
                <w:lang w:val="en-US" w:eastAsia="zh-CN" w:bidi="ar"/>
              </w:rPr>
              <w:t>2026年9月9日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bookmarkStart w:id="0" w:name="_GoBack" w:colFirst="1" w:colLast="1"/>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bookmarkEnd w:id="0"/>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《温州银行“金鹿理财-温盈”19013号开放式净值型（第i期）银行理财计划开放认购（申购）申请书》。投资运作周期到期时，该周期内的资金收益情况根据所投资资产组合的实际运作情况确定。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：本理财计划成立日为2019年7月31日，从成立日起，每</w:t>
      </w:r>
      <w:r>
        <w:rPr>
          <w:rFonts w:ascii="宋体" w:hAnsi="宋体"/>
          <w:sz w:val="18"/>
          <w:highlight w:val="none"/>
        </w:rPr>
        <w:t>【</w:t>
      </w:r>
      <w:r>
        <w:rPr>
          <w:rFonts w:hint="eastAsia" w:ascii="宋体" w:hAnsi="宋体"/>
          <w:color w:val="000000"/>
          <w:sz w:val="18"/>
          <w:highlight w:val="none"/>
        </w:rPr>
        <w:t>365</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365</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本产品预计到期终止日为2029年7月31日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19013号开放式净值型银行理财计划风险揭示书》、《温州银行理财计划合约》、《温州银行“金鹿理财-温盈”19013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yGkuSG+GyrmamG9s9jtwlJfK8=" w:salt="Hw2meTlPDtfyKA+luwPHV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1326252"/>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7433812"/>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136BE5"/>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10</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2026-08-31T02:33:38Z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