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普惠盈周”</w:t>
      </w:r>
      <w:r>
        <w:rPr>
          <w:rFonts w:hint="eastAsia"/>
          <w:szCs w:val="21"/>
          <w:highlight w:val="none"/>
          <w:u w:val="single"/>
        </w:rPr>
        <w:t>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，在产品存续期内不定期开放资金认购、申购及赎回。</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w:t>
      </w:r>
      <w:r>
        <w:rPr>
          <w:rFonts w:hint="eastAsia" w:ascii="宋体" w:hAnsi="宋体"/>
          <w:b/>
          <w:bCs/>
          <w:szCs w:val="21"/>
          <w:highlight w:val="none"/>
          <w:lang w:val="en-US" w:eastAsia="zh-CN"/>
        </w:rPr>
        <w:t>/过往业绩</w:t>
      </w:r>
      <w:r>
        <w:rPr>
          <w:rFonts w:hint="eastAsia" w:ascii="宋体" w:hAnsi="宋体"/>
          <w:b/>
          <w:szCs w:val="21"/>
          <w:highlight w:val="none"/>
        </w:rPr>
        <w:t>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盈周”1号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温州银行“金鹿理财-普惠盈周”</w:t>
      </w:r>
      <w:r>
        <w:rPr>
          <w:rFonts w:hint="eastAsia" w:ascii="黑体" w:eastAsia="黑体"/>
          <w:sz w:val="30"/>
          <w:szCs w:val="30"/>
          <w:highlight w:val="none"/>
          <w:u w:val="single"/>
        </w:rPr>
        <w:t>1</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普惠盈周”1号开放式净值型银行理财计划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“金鹿理财-普惠盈周”</w:t>
            </w:r>
            <w:r>
              <w:rPr>
                <w:rFonts w:hint="eastAsia"/>
                <w:sz w:val="18"/>
                <w:szCs w:val="18"/>
                <w:highlight w:val="none"/>
                <w:u w:val="single"/>
              </w:rPr>
              <w:t>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C1092220000402</w:t>
            </w:r>
          </w:p>
          <w:p>
            <w:pPr>
              <w:pStyle w:val="12"/>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发行规模不超过</w:t>
            </w:r>
            <w:r>
              <w:rPr>
                <w:rFonts w:hint="eastAsia"/>
                <w:sz w:val="18"/>
                <w:szCs w:val="18"/>
                <w:highlight w:val="none"/>
              </w:rPr>
              <w:t>50亿元</w:t>
            </w:r>
            <w:r>
              <w:rPr>
                <w:rFonts w:hint="eastAsia" w:cs="Times New Roman"/>
                <w:sz w:val="18"/>
                <w:szCs w:val="18"/>
                <w:highlight w:val="none"/>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sz w:val="18"/>
                <w:szCs w:val="18"/>
                <w:highlight w:val="none"/>
              </w:rPr>
            </w:pPr>
            <w:r>
              <w:rPr>
                <w:rFonts w:hint="eastAsia" w:ascii="宋体" w:hAnsi="宋体"/>
                <w:kern w:val="0"/>
                <w:sz w:val="18"/>
                <w:highlight w:val="none"/>
              </w:rPr>
              <w:t>本理财计划存续期为10年。存续期指本理财产品成立日至到期日的理财期间。温州银行有权在存续期届满前一个月内选择展期，并通过温州银行网站予以公告。若温州银行未选择展期，则本理财产品在存续期届满后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Autospacing="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r>
              <w:rPr>
                <w:rFonts w:hint="eastAsia" w:ascii="宋体" w:hAnsi="宋体"/>
                <w:sz w:val="18"/>
                <w:highlight w:val="none"/>
              </w:rPr>
              <w:t>投资周期内，除投资周期起始日/终止日外的每一个</w:t>
            </w:r>
            <w:r>
              <w:rPr>
                <w:rFonts w:hint="eastAsia" w:ascii="宋体" w:hAnsi="宋体"/>
                <w:sz w:val="18"/>
                <w:highlight w:val="none"/>
                <w:lang w:val="en-US" w:eastAsia="zh-CN"/>
              </w:rPr>
              <w:t>自然</w:t>
            </w:r>
            <w:r>
              <w:rPr>
                <w:rFonts w:hint="eastAsia" w:ascii="宋体" w:hAnsi="宋体"/>
                <w:sz w:val="18"/>
                <w:highlight w:val="none"/>
              </w:rPr>
              <w:t>日，均可提交申购/赎回申请。</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7</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sz w:val="18"/>
                <w:highlight w:val="none"/>
              </w:rPr>
              <w:t>7</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p>
          <w:p>
            <w:pPr>
              <w:autoSpaceDN w:val="0"/>
              <w:rPr>
                <w:rFonts w:ascii="宋体" w:hAnsi="宋体"/>
                <w:sz w:val="18"/>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w:t>
            </w:r>
            <w:r>
              <w:rPr>
                <w:rFonts w:hint="eastAsia" w:ascii="宋体" w:hAnsi="宋体"/>
                <w:sz w:val="18"/>
                <w:highlight w:val="none"/>
              </w:rPr>
              <w:t>，认购（申购）确认日为下一个投资周期起始日</w:t>
            </w:r>
            <w:r>
              <w:rPr>
                <w:rFonts w:ascii="宋体" w:hAnsi="宋体"/>
                <w:sz w:val="18"/>
                <w:highlight w:val="none"/>
              </w:rPr>
              <w:t>。本理财产品按投资周期开放赎回，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w:t>
            </w:r>
            <w:r>
              <w:rPr>
                <w:rFonts w:hint="eastAsia" w:ascii="宋体" w:hAnsi="宋体"/>
                <w:sz w:val="18"/>
                <w:highlight w:val="none"/>
              </w:rPr>
              <w:t>及清算</w:t>
            </w:r>
            <w:r>
              <w:rPr>
                <w:rFonts w:ascii="宋体" w:hAnsi="宋体"/>
                <w:sz w:val="18"/>
                <w:highlight w:val="none"/>
              </w:rPr>
              <w:t>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购买资金对应的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的预期赎回期内未提出赎回申请，则该投资周期终止后，客户的理财资金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ascii="宋体" w:hAnsi="宋体"/>
                <w:sz w:val="18"/>
                <w:highlight w:val="none"/>
              </w:rPr>
            </w:pPr>
            <w:r>
              <w:rPr>
                <w:rFonts w:hint="eastAsia" w:ascii="宋体" w:hAnsi="宋体"/>
                <w:sz w:val="18"/>
                <w:highlight w:val="none"/>
              </w:rPr>
              <w:t>4.在理财产品存续期内，温州银行有权根据市场情况变化暂停本理财产品的申购、赎回，暂停申购、赎回的公告将通过温州银行网站（www.wzbank.cn）发布。</w:t>
            </w:r>
          </w:p>
          <w:p>
            <w:pPr>
              <w:autoSpaceDN w:val="0"/>
              <w:rPr>
                <w:rFonts w:ascii="宋体" w:hAnsi="宋体"/>
                <w:sz w:val="24"/>
                <w:highlight w:val="none"/>
              </w:rPr>
            </w:pPr>
            <w:r>
              <w:rPr>
                <w:rFonts w:hint="eastAsia" w:ascii="宋体" w:hAnsi="宋体"/>
                <w:sz w:val="18"/>
                <w:highlight w:val="none"/>
              </w:rPr>
              <w:t>5.产品封闭期结束后的每个周四（如遇非</w:t>
            </w:r>
            <w:r>
              <w:rPr>
                <w:rFonts w:hint="eastAsia" w:ascii="宋体" w:hAnsi="宋体"/>
                <w:sz w:val="18"/>
                <w:highlight w:val="none"/>
                <w:lang w:val="en-US" w:eastAsia="zh-CN"/>
              </w:rPr>
              <w:t>交易</w:t>
            </w:r>
            <w:r>
              <w:rPr>
                <w:rFonts w:hint="eastAsia" w:ascii="宋体" w:hAnsi="宋体"/>
                <w:sz w:val="18"/>
                <w:highlight w:val="none"/>
              </w:rPr>
              <w:t>日则顺延至下一</w:t>
            </w:r>
            <w:r>
              <w:rPr>
                <w:rFonts w:hint="eastAsia" w:ascii="宋体" w:hAnsi="宋体"/>
                <w:sz w:val="18"/>
                <w:highlight w:val="none"/>
                <w:lang w:val="en-US" w:eastAsia="zh-CN"/>
              </w:rPr>
              <w:t>交易</w:t>
            </w:r>
            <w:r>
              <w:rPr>
                <w:rFonts w:hint="eastAsia" w:ascii="宋体" w:hAnsi="宋体"/>
                <w:sz w:val="18"/>
                <w:highlight w:val="none"/>
              </w:rPr>
              <w:t>日）为投资周期终止日。</w:t>
            </w:r>
          </w:p>
          <w:p>
            <w:pPr>
              <w:autoSpaceDN w:val="0"/>
              <w:rPr>
                <w:sz w:val="18"/>
                <w:szCs w:val="18"/>
                <w:highlight w:val="none"/>
              </w:rPr>
            </w:pPr>
            <w:r>
              <w:rPr>
                <w:rFonts w:hint="eastAsia" w:ascii="宋体" w:hAnsi="宋体"/>
                <w:sz w:val="18"/>
                <w:highlight w:val="none"/>
              </w:rPr>
              <w:t>6</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单一投资者持有份额最高不超300万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lang w:val="en-US" w:eastAsia="zh-CN"/>
              </w:rPr>
              <w:t>1.35</w:t>
            </w:r>
            <w:r>
              <w:rPr>
                <w:rFonts w:hint="eastAsia" w:cs="Times New Roman"/>
                <w:sz w:val="18"/>
                <w:szCs w:val="18"/>
                <w:highlight w:val="none"/>
              </w:rPr>
              <w:t>%-</w:t>
            </w:r>
            <w:r>
              <w:rPr>
                <w:rFonts w:hint="eastAsia" w:cs="Times New Roman"/>
                <w:sz w:val="18"/>
                <w:szCs w:val="18"/>
                <w:highlight w:val="none"/>
                <w:lang w:val="en-US" w:eastAsia="zh-CN"/>
              </w:rPr>
              <w:t>2.15</w:t>
            </w:r>
            <w:r>
              <w:rPr>
                <w:rFonts w:hint="eastAsia" w:cs="Times New Roman"/>
                <w:sz w:val="18"/>
                <w:szCs w:val="18"/>
                <w:highlight w:val="none"/>
              </w:rPr>
              <w:t>%（年化）</w:t>
            </w:r>
          </w:p>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若本理财产品扣除产品固定管理费及托管费等各项费用后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hint="eastAsia" w:eastAsia="宋体"/>
                <w:sz w:val="18"/>
                <w:szCs w:val="18"/>
                <w:highlight w:val="none"/>
                <w:lang w:val="en-US" w:eastAsia="zh-CN"/>
              </w:rPr>
            </w:pPr>
            <w:r>
              <w:rPr>
                <w:rFonts w:hint="eastAsia"/>
                <w:sz w:val="18"/>
                <w:szCs w:val="18"/>
                <w:highlight w:val="none"/>
                <w:lang w:val="en-US" w:eastAsia="zh-CN"/>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2"/>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债权类资产，部分可投资于权益类资产、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7"/>
        <w:tblW w:w="9400" w:type="dxa"/>
        <w:jc w:val="center"/>
        <w:tblLayout w:type="fixed"/>
        <w:tblCellMar>
          <w:top w:w="0" w:type="dxa"/>
          <w:left w:w="108" w:type="dxa"/>
          <w:bottom w:w="0" w:type="dxa"/>
          <w:right w:w="108" w:type="dxa"/>
        </w:tblCellMar>
      </w:tblPr>
      <w:tblGrid>
        <w:gridCol w:w="5168"/>
        <w:gridCol w:w="4230"/>
      </w:tblGrid>
      <w:tr>
        <w:trPr>
          <w:trHeight w:val="316"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4230" w:type="dxa"/>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42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5168" w:type="dxa"/>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423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eastAsia"/>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5"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0"/>
          <w:rFonts w:ascii="宋体" w:hAnsi="宋体"/>
          <w:sz w:val="18"/>
          <w:szCs w:val="18"/>
          <w:highlight w:val="none"/>
        </w:rPr>
        <w:t>www.wzbank.cn</w:t>
      </w:r>
      <w:r>
        <w:rPr>
          <w:rStyle w:val="10"/>
          <w:rFonts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w:t>
      </w:r>
      <w:r>
        <w:rPr>
          <w:rFonts w:hint="default"/>
          <w:sz w:val="18"/>
          <w:szCs w:val="18"/>
          <w:highlight w:val="none"/>
          <w:lang w:val="en-US"/>
        </w:rPr>
        <w:t>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rFonts w:hint="eastAsia"/>
          <w:sz w:val="18"/>
          <w:szCs w:val="18"/>
          <w:highlight w:val="none"/>
        </w:rPr>
        <w:t>本理财计划成立日为</w:t>
      </w:r>
      <w:r>
        <w:rPr>
          <w:sz w:val="18"/>
          <w:szCs w:val="18"/>
          <w:highlight w:val="none"/>
        </w:rPr>
        <w:t>20</w:t>
      </w:r>
      <w:r>
        <w:rPr>
          <w:rFonts w:hint="eastAsia"/>
          <w:sz w:val="18"/>
          <w:szCs w:val="18"/>
          <w:highlight w:val="none"/>
        </w:rPr>
        <w:t>20年9月28日。封闭期为2020年9月28日至2020年10月28日。从封闭期结束后，每</w:t>
      </w:r>
      <w:r>
        <w:rPr>
          <w:rFonts w:ascii="宋体" w:hAnsi="宋体"/>
          <w:sz w:val="18"/>
          <w:highlight w:val="none"/>
        </w:rPr>
        <w:t>【</w:t>
      </w:r>
      <w:r>
        <w:rPr>
          <w:rFonts w:hint="eastAsia" w:ascii="宋体" w:hAnsi="宋体"/>
          <w:sz w:val="18"/>
          <w:highlight w:val="none"/>
        </w:rPr>
        <w:t>7</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w:t>
      </w:r>
      <w:r>
        <w:rPr>
          <w:rFonts w:hint="eastAsia" w:ascii="宋体" w:hAnsi="宋体"/>
          <w:sz w:val="18"/>
          <w:highlight w:val="none"/>
          <w:lang w:eastAsia="zh-CN"/>
        </w:rPr>
        <w:t>非交易日</w:t>
      </w:r>
      <w:r>
        <w:rPr>
          <w:rFonts w:ascii="宋体" w:hAnsi="宋体"/>
          <w:sz w:val="18"/>
          <w:highlight w:val="none"/>
        </w:rPr>
        <w:t>调整大于或小于【</w:t>
      </w:r>
      <w:r>
        <w:rPr>
          <w:rFonts w:hint="eastAsia" w:ascii="宋体" w:hAnsi="宋体"/>
          <w:sz w:val="18"/>
          <w:highlight w:val="none"/>
        </w:rPr>
        <w:t>7</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确认投资者赎回成功后，温州银行在赎回清算日将为投资者扣减份额，并将投资者应得的赎回资金（如有，下同）于赎回清算日后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w:t>
      </w:r>
      <w:r>
        <w:rPr>
          <w:rFonts w:hint="eastAsia"/>
          <w:sz w:val="18"/>
          <w:szCs w:val="18"/>
          <w:highlight w:val="none"/>
          <w:lang w:val="en-US" w:eastAsia="zh-CN"/>
        </w:rPr>
        <w:t>份额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w:t>
      </w:r>
      <w:r>
        <w:rPr>
          <w:rFonts w:hint="eastAsia"/>
          <w:sz w:val="18"/>
          <w:szCs w:val="18"/>
          <w:highlight w:val="none"/>
          <w:lang w:val="en-US" w:eastAsia="zh-CN"/>
        </w:rPr>
        <w:t>清算日前一自然日</w:t>
      </w:r>
      <w:r>
        <w:rPr>
          <w:rFonts w:hint="eastAsia"/>
          <w:sz w:val="18"/>
          <w:szCs w:val="18"/>
          <w:highlight w:val="none"/>
        </w:rPr>
        <w:t>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color w:val="000000"/>
          <w:sz w:val="18"/>
          <w:highlight w:val="none"/>
        </w:rPr>
      </w:pPr>
      <w:r>
        <w:rPr>
          <w:rFonts w:hint="eastAsia"/>
          <w:sz w:val="18"/>
          <w:szCs w:val="18"/>
          <w:highlight w:val="none"/>
        </w:rPr>
        <w:t>本产品预计到期终止日</w:t>
      </w:r>
      <w:r>
        <w:rPr>
          <w:rFonts w:hint="eastAsia"/>
          <w:sz w:val="18"/>
          <w:szCs w:val="18"/>
          <w:highlight w:val="none"/>
          <w:lang w:val="en-US" w:eastAsia="zh-CN"/>
        </w:rPr>
        <w:t>为2030年9月28日</w:t>
      </w:r>
      <w:r>
        <w:rPr>
          <w:rFonts w:hint="eastAsia"/>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理财管理人对委托资产收取的固定管理费，理财计划财产的年固定管理费率为1.0%，计算方法如下：</w:t>
      </w:r>
    </w:p>
    <w:p>
      <w:pPr>
        <w:adjustRightInd w:val="0"/>
        <w:snapToGrid w:val="0"/>
        <w:spacing w:line="286" w:lineRule="auto"/>
        <w:rPr>
          <w:sz w:val="18"/>
          <w:szCs w:val="18"/>
          <w:highlight w:val="none"/>
        </w:rPr>
      </w:pPr>
      <w:r>
        <w:rPr>
          <w:rFonts w:hint="eastAsia"/>
          <w:sz w:val="18"/>
          <w:szCs w:val="18"/>
          <w:highlight w:val="none"/>
        </w:rPr>
        <w:t>H＝E×1.0%÷365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sz w:val="18"/>
          <w:szCs w:val="18"/>
          <w:highlight w:val="none"/>
        </w:rPr>
      </w:pPr>
      <w:r>
        <w:rPr>
          <w:rFonts w:hint="eastAsia"/>
          <w:sz w:val="18"/>
          <w:szCs w:val="18"/>
          <w:highlight w:val="none"/>
        </w:rPr>
        <w:t>R为当日的业绩比较基准，若业绩比较基准存在区间范围的，则为业绩比较基准区间均值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rFonts w:hint="eastAsia"/>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1、收益的构成</w:t>
      </w:r>
    </w:p>
    <w:p>
      <w:pPr>
        <w:adjustRightInd w:val="0"/>
        <w:snapToGrid w:val="0"/>
        <w:spacing w:line="286" w:lineRule="auto"/>
        <w:rPr>
          <w:rFonts w:hint="eastAsia"/>
          <w:b w:val="0"/>
          <w:bCs/>
          <w:sz w:val="18"/>
          <w:szCs w:val="18"/>
          <w:highlight w:val="none"/>
        </w:rPr>
      </w:pPr>
      <w:r>
        <w:rPr>
          <w:rFonts w:hint="eastAsia"/>
          <w:b w:val="0"/>
          <w:bCs/>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b w:val="0"/>
          <w:bCs/>
          <w:sz w:val="18"/>
          <w:szCs w:val="18"/>
          <w:highlight w:val="none"/>
        </w:rPr>
      </w:pPr>
      <w:r>
        <w:rPr>
          <w:rFonts w:hint="eastAsia"/>
          <w:b w:val="0"/>
          <w:bCs/>
          <w:sz w:val="18"/>
          <w:szCs w:val="18"/>
          <w:highlight w:val="none"/>
        </w:rPr>
        <w:t>2、收益分配的原则</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（1）同一类别的每一产品份额享有同等分配权。</w:t>
      </w:r>
    </w:p>
    <w:p>
      <w:pPr>
        <w:adjustRightInd w:val="0"/>
        <w:snapToGrid w:val="0"/>
        <w:spacing w:line="286" w:lineRule="auto"/>
        <w:rPr>
          <w:rFonts w:hint="eastAsia"/>
          <w:b w:val="0"/>
          <w:bCs/>
          <w:sz w:val="18"/>
          <w:szCs w:val="18"/>
          <w:highlight w:val="none"/>
        </w:rPr>
      </w:pPr>
      <w:r>
        <w:rPr>
          <w:rFonts w:hint="eastAsia"/>
          <w:b w:val="0"/>
          <w:bCs/>
          <w:sz w:val="18"/>
          <w:szCs w:val="18"/>
          <w:highlight w:val="none"/>
        </w:rPr>
        <w:t>（2）本理财计划不定期进行收益分配。收益分配方式分两种：现金分红与红利再投资。温州银行可选择现金红利分配或将现金红利自动转为产品份额进行再投资的方式进行收益分配。</w:t>
      </w:r>
    </w:p>
    <w:p>
      <w:pPr>
        <w:adjustRightInd w:val="0"/>
        <w:snapToGrid w:val="0"/>
        <w:spacing w:line="286" w:lineRule="auto"/>
        <w:rPr>
          <w:rFonts w:hint="eastAsia"/>
          <w:b w:val="0"/>
          <w:bCs/>
          <w:sz w:val="18"/>
          <w:szCs w:val="18"/>
          <w:highlight w:val="none"/>
        </w:rPr>
      </w:pPr>
      <w:r>
        <w:rPr>
          <w:rFonts w:hint="eastAsia"/>
          <w:b w:val="0"/>
          <w:bCs/>
          <w:sz w:val="18"/>
          <w:szCs w:val="18"/>
          <w:highlight w:val="none"/>
        </w:rPr>
        <w:t>（3）投资者持有本理财计划期间，温州银行不承诺保证本金安全且不保证理财收益，投资者应得收益（如有）随投资盈亏水平浮动。</w:t>
      </w:r>
    </w:p>
    <w:p>
      <w:pPr>
        <w:adjustRightInd w:val="0"/>
        <w:snapToGrid w:val="0"/>
        <w:spacing w:line="286" w:lineRule="auto"/>
        <w:rPr>
          <w:rFonts w:hint="eastAsia"/>
          <w:b w:val="0"/>
          <w:bCs/>
          <w:sz w:val="18"/>
          <w:szCs w:val="18"/>
          <w:highlight w:val="none"/>
        </w:rPr>
      </w:pPr>
      <w:r>
        <w:rPr>
          <w:rFonts w:hint="eastAsia"/>
          <w:b w:val="0"/>
          <w:bCs/>
          <w:sz w:val="18"/>
          <w:szCs w:val="18"/>
          <w:highlight w:val="none"/>
        </w:rPr>
        <w:t>3、收益分配方案的确定与披露</w:t>
      </w:r>
    </w:p>
    <w:p>
      <w:pPr>
        <w:adjustRightInd w:val="0"/>
        <w:snapToGrid w:val="0"/>
        <w:spacing w:line="286" w:lineRule="auto"/>
        <w:rPr>
          <w:rFonts w:hint="eastAsia"/>
          <w:b w:val="0"/>
          <w:bCs/>
          <w:sz w:val="18"/>
          <w:szCs w:val="18"/>
          <w:highlight w:val="none"/>
        </w:rPr>
      </w:pPr>
      <w:r>
        <w:rPr>
          <w:rFonts w:hint="eastAsia"/>
          <w:b w:val="0"/>
          <w:bCs/>
          <w:sz w:val="18"/>
          <w:szCs w:val="18"/>
          <w:highlight w:val="none"/>
        </w:rPr>
        <w:t>本理财计划收益分配方案由产品管理人拟定，至少在分配日前1个工作日进行公告，理财计划产品说明书对收益分配方案已有约定的除外。</w:t>
      </w:r>
    </w:p>
    <w:p>
      <w:pPr>
        <w:adjustRightInd w:val="0"/>
        <w:snapToGrid w:val="0"/>
        <w:spacing w:line="286" w:lineRule="auto"/>
        <w:rPr>
          <w:rFonts w:hint="eastAsia"/>
          <w:b/>
          <w:bCs w:val="0"/>
          <w:sz w:val="18"/>
          <w:szCs w:val="18"/>
          <w:highlight w:val="none"/>
        </w:rPr>
      </w:pPr>
      <w:r>
        <w:rPr>
          <w:rFonts w:hint="eastAsia"/>
          <w:b/>
          <w:bCs w:val="0"/>
          <w:sz w:val="18"/>
          <w:szCs w:val="18"/>
          <w:highlight w:val="none"/>
        </w:rPr>
        <w:t>理财终止清算</w:t>
      </w:r>
    </w:p>
    <w:p>
      <w:pPr>
        <w:adjustRightInd w:val="0"/>
        <w:snapToGrid w:val="0"/>
        <w:spacing w:line="286" w:lineRule="auto"/>
        <w:rPr>
          <w:rFonts w:hint="eastAsia"/>
          <w:b w:val="0"/>
          <w:bCs/>
          <w:sz w:val="18"/>
          <w:szCs w:val="18"/>
          <w:highlight w:val="none"/>
        </w:rPr>
      </w:pPr>
      <w:r>
        <w:rPr>
          <w:rFonts w:hint="eastAsia"/>
          <w:b w:val="0"/>
          <w:bCs/>
          <w:sz w:val="18"/>
          <w:szCs w:val="18"/>
          <w:highlight w:val="none"/>
        </w:rPr>
        <w:t>1、理财计划终止时，如理财计划项下财产全部变现，温州银行在理财计划终止日后5个工作日内将投资者应得资金划转至投资者账户。清算期超过5日的，温州银行将在原定清算期结束前根据约定方式进行信息披露。</w:t>
      </w:r>
    </w:p>
    <w:p>
      <w:pPr>
        <w:adjustRightInd w:val="0"/>
        <w:snapToGrid w:val="0"/>
        <w:spacing w:line="286" w:lineRule="auto"/>
        <w:rPr>
          <w:rFonts w:hint="eastAsia"/>
          <w:b/>
          <w:sz w:val="18"/>
          <w:szCs w:val="18"/>
          <w:highlight w:val="none"/>
        </w:rPr>
      </w:pPr>
      <w:r>
        <w:rPr>
          <w:rFonts w:hint="eastAsia"/>
          <w:b w:val="0"/>
          <w:bCs/>
          <w:sz w:val="18"/>
          <w:szCs w:val="18"/>
          <w:highlight w:val="none"/>
        </w:rPr>
        <w:t>2、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工作日内，扣除应由理财计划承担的费用、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lang w:val="en-US" w:eastAsia="zh-CN"/>
        </w:rPr>
        <w:t>7</w:t>
      </w:r>
      <w:r>
        <w:rPr>
          <w:rFonts w:hint="eastAsia"/>
          <w:sz w:val="18"/>
          <w:szCs w:val="18"/>
          <w:highlight w:val="none"/>
        </w:rPr>
        <w:t>、早偿风险：如温州银行在特定情况下</w:t>
      </w:r>
      <w:r>
        <w:rPr>
          <w:rFonts w:hint="eastAsia"/>
          <w:sz w:val="18"/>
          <w:szCs w:val="18"/>
          <w:highlight w:val="none"/>
          <w:lang w:val="en-US" w:eastAsia="zh-CN"/>
        </w:rPr>
        <w:t>提前</w:t>
      </w:r>
      <w:r>
        <w:rPr>
          <w:rFonts w:hint="eastAsia"/>
          <w:sz w:val="18"/>
          <w:szCs w:val="18"/>
          <w:highlight w:val="none"/>
        </w:rPr>
        <w:t>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lang w:val="en-US" w:eastAsia="zh-CN"/>
        </w:rPr>
        <w:t>8</w:t>
      </w:r>
      <w:r>
        <w:rPr>
          <w:rFonts w:hint="eastAsia" w:ascii="宋体" w:hAnsi="宋体"/>
          <w:sz w:val="18"/>
          <w:szCs w:val="18"/>
          <w:highlight w:val="none"/>
        </w:rPr>
        <w:t>、</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lang w:val="en-US" w:eastAsia="zh-CN"/>
        </w:rPr>
        <w:t>9</w:t>
      </w:r>
      <w:r>
        <w:rPr>
          <w:rFonts w:hint="eastAsia"/>
          <w:sz w:val="18"/>
          <w:szCs w:val="18"/>
          <w:highlight w:val="none"/>
        </w:rPr>
        <w:t>、</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lang w:val="en-US" w:eastAsia="zh-CN"/>
        </w:rPr>
        <w:t>10</w:t>
      </w:r>
      <w:r>
        <w:rPr>
          <w:rFonts w:hint="eastAsia" w:ascii="宋体" w:hAnsi="宋体"/>
          <w:sz w:val="18"/>
          <w:szCs w:val="18"/>
          <w:highlight w:val="none"/>
        </w:rPr>
        <w:t>、</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val="en-US" w:eastAsia="zh-CN"/>
        </w:rPr>
        <w:t>1</w:t>
      </w:r>
      <w:r>
        <w:rPr>
          <w:rFonts w:hint="eastAsia"/>
          <w:sz w:val="18"/>
          <w:szCs w:val="18"/>
          <w:highlight w:val="none"/>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val="en-US" w:eastAsia="zh-CN"/>
        </w:rPr>
        <w:t>2</w:t>
      </w:r>
      <w:r>
        <w:rPr>
          <w:rFonts w:hint="eastAsia"/>
          <w:sz w:val="18"/>
          <w:szCs w:val="18"/>
          <w:highlight w:val="none"/>
        </w:rPr>
        <w:t>、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w:t>
      </w:r>
      <w:r>
        <w:rPr>
          <w:rFonts w:hint="eastAsia"/>
          <w:sz w:val="18"/>
          <w:szCs w:val="18"/>
          <w:highlight w:val="none"/>
          <w:lang w:val="en-US" w:eastAsia="zh-CN"/>
        </w:rPr>
        <w:t>披露理财产品的季度报告，每年8月31日前披露产品的半年度报告，每年4月30日前披露产品上一年度的年度报告</w:t>
      </w:r>
      <w:r>
        <w:rPr>
          <w:rFonts w:hint="eastAsia"/>
          <w:sz w:val="18"/>
          <w:szCs w:val="18"/>
          <w:highlight w:val="none"/>
        </w:rPr>
        <w:t>。理财产品成立不足90个</w:t>
      </w:r>
      <w:r>
        <w:rPr>
          <w:rFonts w:hint="eastAsia"/>
          <w:sz w:val="18"/>
          <w:szCs w:val="18"/>
          <w:highlight w:val="none"/>
          <w:lang w:val="en-US" w:eastAsia="zh-CN"/>
        </w:rPr>
        <w:t>自然</w:t>
      </w:r>
      <w:r>
        <w:rPr>
          <w:rFonts w:hint="eastAsia"/>
          <w:sz w:val="18"/>
          <w:szCs w:val="18"/>
          <w:highlight w:val="none"/>
        </w:rPr>
        <w:t>日</w:t>
      </w:r>
      <w:r>
        <w:rPr>
          <w:rFonts w:hint="eastAsia"/>
          <w:sz w:val="18"/>
          <w:szCs w:val="18"/>
          <w:highlight w:val="none"/>
          <w:lang w:val="en-US" w:eastAsia="zh-CN"/>
        </w:rPr>
        <w:t>的，可以不编制当期的季度、半年和年度报告。产品期限超过90个自然日的理财产品应当在存续期内至少披露一次定期报告。</w:t>
      </w:r>
      <w:r>
        <w:rPr>
          <w:rFonts w:hint="eastAsia"/>
          <w:sz w:val="18"/>
          <w:szCs w:val="18"/>
          <w:highlight w:val="none"/>
        </w:rPr>
        <w:t>理财产品</w:t>
      </w:r>
      <w:r>
        <w:rPr>
          <w:rFonts w:hint="eastAsia"/>
          <w:sz w:val="18"/>
          <w:szCs w:val="18"/>
          <w:highlight w:val="none"/>
          <w:lang w:val="en-US" w:eastAsia="zh-CN"/>
        </w:rPr>
        <w:t>剩余存续期不足完整报告期，且到期公告或清算报告包括对应定期报告内容的，可以不编制剩余存续期所对应的季度、半年和年度报告。</w:t>
      </w:r>
      <w:r>
        <w:rPr>
          <w:rFonts w:hint="eastAsia"/>
          <w:sz w:val="18"/>
          <w:szCs w:val="18"/>
          <w:highlight w:val="none"/>
        </w:rPr>
        <w:t>开放式产品在每个开放日结束后两个工作日内，披露产品在开放日的份额净值、份额累计净值、认（申）购价格和赎回价格</w:t>
      </w:r>
      <w:r>
        <w:rPr>
          <w:rFonts w:hint="eastAsia"/>
          <w:sz w:val="18"/>
          <w:szCs w:val="18"/>
          <w:highlight w:val="none"/>
          <w:lang w:eastAsia="zh-CN"/>
        </w:rPr>
        <w:t>。</w:t>
      </w:r>
      <w:r>
        <w:rPr>
          <w:rFonts w:hint="eastAsia"/>
          <w:sz w:val="18"/>
          <w:szCs w:val="18"/>
          <w:highlight w:val="none"/>
        </w:rPr>
        <w:t>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w:t>
      </w:r>
      <w:r>
        <w:rPr>
          <w:rFonts w:hint="eastAsia"/>
          <w:sz w:val="18"/>
          <w:szCs w:val="18"/>
          <w:highlight w:val="none"/>
          <w:lang w:val="en-US" w:eastAsia="zh-CN"/>
        </w:rPr>
        <w:t>2</w:t>
      </w:r>
      <w:r>
        <w:rPr>
          <w:rFonts w:hint="eastAsia"/>
          <w:sz w:val="18"/>
          <w:szCs w:val="18"/>
          <w:highlight w:val="none"/>
        </w:rPr>
        <w:t>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6" w:lineRule="auto"/>
        <w:rPr>
          <w:rFonts w:hint="eastAsia"/>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盈周”1号开放式净值型银行理财计划风险揭示书》、《温州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U4oiZMRmkXxZ1xReH4Zv2En0I0c=" w:salt="pneCuV/1uJ7O2q+tuf09/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522DDA"/>
    <w:rsid w:val="027F2D40"/>
    <w:rsid w:val="02DB5B66"/>
    <w:rsid w:val="034321D6"/>
    <w:rsid w:val="035F5B62"/>
    <w:rsid w:val="03B225C6"/>
    <w:rsid w:val="044206BF"/>
    <w:rsid w:val="04556D28"/>
    <w:rsid w:val="054B1243"/>
    <w:rsid w:val="056A5112"/>
    <w:rsid w:val="057F0120"/>
    <w:rsid w:val="05BE5868"/>
    <w:rsid w:val="06852039"/>
    <w:rsid w:val="06A27A3C"/>
    <w:rsid w:val="07480E14"/>
    <w:rsid w:val="082A539E"/>
    <w:rsid w:val="0831435C"/>
    <w:rsid w:val="08BB05C4"/>
    <w:rsid w:val="098E3976"/>
    <w:rsid w:val="09E54C2D"/>
    <w:rsid w:val="09F621E7"/>
    <w:rsid w:val="0A764250"/>
    <w:rsid w:val="0A8B5255"/>
    <w:rsid w:val="0B0A4050"/>
    <w:rsid w:val="0B626F8B"/>
    <w:rsid w:val="0B9C60DB"/>
    <w:rsid w:val="0BA820C6"/>
    <w:rsid w:val="0C9F1A2D"/>
    <w:rsid w:val="0D80050B"/>
    <w:rsid w:val="0D8063CB"/>
    <w:rsid w:val="0D985A32"/>
    <w:rsid w:val="0DD2713B"/>
    <w:rsid w:val="0E490064"/>
    <w:rsid w:val="0E4A4F72"/>
    <w:rsid w:val="0E8F73F2"/>
    <w:rsid w:val="0EB04152"/>
    <w:rsid w:val="0F1B13EC"/>
    <w:rsid w:val="0F6E6A60"/>
    <w:rsid w:val="0FA9345E"/>
    <w:rsid w:val="10076259"/>
    <w:rsid w:val="103E1D5B"/>
    <w:rsid w:val="109C216B"/>
    <w:rsid w:val="118616F9"/>
    <w:rsid w:val="11BB2246"/>
    <w:rsid w:val="11C64501"/>
    <w:rsid w:val="11DD4340"/>
    <w:rsid w:val="1270227F"/>
    <w:rsid w:val="13811187"/>
    <w:rsid w:val="138D0757"/>
    <w:rsid w:val="13B22BCB"/>
    <w:rsid w:val="13E4398C"/>
    <w:rsid w:val="14D72A6E"/>
    <w:rsid w:val="14F55AF2"/>
    <w:rsid w:val="160F0382"/>
    <w:rsid w:val="165E4F6A"/>
    <w:rsid w:val="168B140C"/>
    <w:rsid w:val="16CA708E"/>
    <w:rsid w:val="16EE7258"/>
    <w:rsid w:val="17892312"/>
    <w:rsid w:val="17F130D5"/>
    <w:rsid w:val="18797458"/>
    <w:rsid w:val="18D67783"/>
    <w:rsid w:val="1A271BF7"/>
    <w:rsid w:val="1AB5506A"/>
    <w:rsid w:val="1B3E22C5"/>
    <w:rsid w:val="1CF83BFA"/>
    <w:rsid w:val="1DC92858"/>
    <w:rsid w:val="1E2622AE"/>
    <w:rsid w:val="1ED866A8"/>
    <w:rsid w:val="1F8B783A"/>
    <w:rsid w:val="1FD9439E"/>
    <w:rsid w:val="20612EED"/>
    <w:rsid w:val="20A41B57"/>
    <w:rsid w:val="212B37A8"/>
    <w:rsid w:val="22F037FA"/>
    <w:rsid w:val="230E3B63"/>
    <w:rsid w:val="23EC2A46"/>
    <w:rsid w:val="240B5CB0"/>
    <w:rsid w:val="242A4AD2"/>
    <w:rsid w:val="24845E93"/>
    <w:rsid w:val="24D701A9"/>
    <w:rsid w:val="250E5C42"/>
    <w:rsid w:val="25C1363B"/>
    <w:rsid w:val="25E5683B"/>
    <w:rsid w:val="27510B3A"/>
    <w:rsid w:val="27532396"/>
    <w:rsid w:val="299D30D3"/>
    <w:rsid w:val="2A2A3FBC"/>
    <w:rsid w:val="2AE21E1E"/>
    <w:rsid w:val="2AE55C71"/>
    <w:rsid w:val="2C9367E4"/>
    <w:rsid w:val="2CD5741D"/>
    <w:rsid w:val="2CDF0BC5"/>
    <w:rsid w:val="2CF84B28"/>
    <w:rsid w:val="2CFF7EE5"/>
    <w:rsid w:val="2D0C3CF4"/>
    <w:rsid w:val="2D3A6459"/>
    <w:rsid w:val="2D8F5880"/>
    <w:rsid w:val="2E493CAB"/>
    <w:rsid w:val="2E971AE3"/>
    <w:rsid w:val="30305B1B"/>
    <w:rsid w:val="304709FE"/>
    <w:rsid w:val="30873011"/>
    <w:rsid w:val="30B0516F"/>
    <w:rsid w:val="31E50D76"/>
    <w:rsid w:val="3233705C"/>
    <w:rsid w:val="32600E2A"/>
    <w:rsid w:val="339E5D33"/>
    <w:rsid w:val="33BB0464"/>
    <w:rsid w:val="33DA42F7"/>
    <w:rsid w:val="34582769"/>
    <w:rsid w:val="351A7ABC"/>
    <w:rsid w:val="35635518"/>
    <w:rsid w:val="35E656FC"/>
    <w:rsid w:val="36D42F75"/>
    <w:rsid w:val="370C1C5B"/>
    <w:rsid w:val="371E667F"/>
    <w:rsid w:val="384229DF"/>
    <w:rsid w:val="38C66936"/>
    <w:rsid w:val="397B29C2"/>
    <w:rsid w:val="39E92488"/>
    <w:rsid w:val="39F7795F"/>
    <w:rsid w:val="3B744119"/>
    <w:rsid w:val="3C0105D0"/>
    <w:rsid w:val="3C1926A8"/>
    <w:rsid w:val="3CA95CCE"/>
    <w:rsid w:val="3CD60CF3"/>
    <w:rsid w:val="3CED33BB"/>
    <w:rsid w:val="3D3D61A4"/>
    <w:rsid w:val="3D6E0AAA"/>
    <w:rsid w:val="3ECA7A13"/>
    <w:rsid w:val="3FDD3AA0"/>
    <w:rsid w:val="40764994"/>
    <w:rsid w:val="411C78D5"/>
    <w:rsid w:val="415747BE"/>
    <w:rsid w:val="42E3304C"/>
    <w:rsid w:val="43290586"/>
    <w:rsid w:val="43710A36"/>
    <w:rsid w:val="44D7779F"/>
    <w:rsid w:val="458B5C50"/>
    <w:rsid w:val="46113CCE"/>
    <w:rsid w:val="466B4B97"/>
    <w:rsid w:val="46733CB9"/>
    <w:rsid w:val="46BF4C9C"/>
    <w:rsid w:val="47040FBB"/>
    <w:rsid w:val="48734F6C"/>
    <w:rsid w:val="489E2F22"/>
    <w:rsid w:val="493C1AF2"/>
    <w:rsid w:val="4B0239B6"/>
    <w:rsid w:val="4B3A78C8"/>
    <w:rsid w:val="4B8D3FF0"/>
    <w:rsid w:val="4C326B56"/>
    <w:rsid w:val="4D1F2F41"/>
    <w:rsid w:val="4D9F6C37"/>
    <w:rsid w:val="4DA04DB4"/>
    <w:rsid w:val="4DB6480E"/>
    <w:rsid w:val="4E3F1A3D"/>
    <w:rsid w:val="4E8428DD"/>
    <w:rsid w:val="4EC917E6"/>
    <w:rsid w:val="502F0C44"/>
    <w:rsid w:val="50B31F53"/>
    <w:rsid w:val="52807E6D"/>
    <w:rsid w:val="52B976E5"/>
    <w:rsid w:val="52F50261"/>
    <w:rsid w:val="53BC33C3"/>
    <w:rsid w:val="542B731D"/>
    <w:rsid w:val="5458476B"/>
    <w:rsid w:val="54D2486B"/>
    <w:rsid w:val="55F03B08"/>
    <w:rsid w:val="575177BB"/>
    <w:rsid w:val="57BC002D"/>
    <w:rsid w:val="58776FB0"/>
    <w:rsid w:val="58957134"/>
    <w:rsid w:val="58B403AE"/>
    <w:rsid w:val="58E46088"/>
    <w:rsid w:val="592C2E0C"/>
    <w:rsid w:val="59FD29AB"/>
    <w:rsid w:val="5A5D71D1"/>
    <w:rsid w:val="5A8D45D9"/>
    <w:rsid w:val="5BAA2DD8"/>
    <w:rsid w:val="5BEB7D2D"/>
    <w:rsid w:val="5C2610B6"/>
    <w:rsid w:val="5CAC60D0"/>
    <w:rsid w:val="5CF67827"/>
    <w:rsid w:val="5D2F7B31"/>
    <w:rsid w:val="5D5C6839"/>
    <w:rsid w:val="5D774E64"/>
    <w:rsid w:val="5D8416F7"/>
    <w:rsid w:val="5E4428C3"/>
    <w:rsid w:val="5FD57A72"/>
    <w:rsid w:val="60A64BF2"/>
    <w:rsid w:val="60E42582"/>
    <w:rsid w:val="61983807"/>
    <w:rsid w:val="61EB7F09"/>
    <w:rsid w:val="62373B72"/>
    <w:rsid w:val="628B4E13"/>
    <w:rsid w:val="62B023A5"/>
    <w:rsid w:val="633B16F7"/>
    <w:rsid w:val="63C6393F"/>
    <w:rsid w:val="63E47C50"/>
    <w:rsid w:val="644D2BDF"/>
    <w:rsid w:val="65407929"/>
    <w:rsid w:val="66E000AE"/>
    <w:rsid w:val="671110CE"/>
    <w:rsid w:val="67393169"/>
    <w:rsid w:val="69085C1A"/>
    <w:rsid w:val="6954706E"/>
    <w:rsid w:val="6B5424D8"/>
    <w:rsid w:val="6BEA4E88"/>
    <w:rsid w:val="6C166AE8"/>
    <w:rsid w:val="6C1C1043"/>
    <w:rsid w:val="6D763CAB"/>
    <w:rsid w:val="6DFF3667"/>
    <w:rsid w:val="6E491E80"/>
    <w:rsid w:val="6F9406F7"/>
    <w:rsid w:val="70F76DDC"/>
    <w:rsid w:val="71AC58D0"/>
    <w:rsid w:val="71E44BEA"/>
    <w:rsid w:val="721944C5"/>
    <w:rsid w:val="725768B8"/>
    <w:rsid w:val="72935C87"/>
    <w:rsid w:val="72F53ED4"/>
    <w:rsid w:val="741D513E"/>
    <w:rsid w:val="745B12C0"/>
    <w:rsid w:val="74C431E5"/>
    <w:rsid w:val="75082B24"/>
    <w:rsid w:val="75646EFC"/>
    <w:rsid w:val="759A00B6"/>
    <w:rsid w:val="75EE1A0C"/>
    <w:rsid w:val="764B043F"/>
    <w:rsid w:val="78AF2A24"/>
    <w:rsid w:val="79331DEC"/>
    <w:rsid w:val="7A2A2B0F"/>
    <w:rsid w:val="7A7957AE"/>
    <w:rsid w:val="7A8E1286"/>
    <w:rsid w:val="7AB61D86"/>
    <w:rsid w:val="7B6A2E87"/>
    <w:rsid w:val="7B6E3D14"/>
    <w:rsid w:val="7C106E98"/>
    <w:rsid w:val="7CB110A9"/>
    <w:rsid w:val="7E046FB3"/>
    <w:rsid w:val="7EAF49DC"/>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5"/>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563C1"/>
      <w:u w:val="single"/>
    </w:rPr>
  </w:style>
  <w:style w:type="character" w:styleId="11">
    <w:name w:val="annotation reference"/>
    <w:unhideWhenUsed/>
    <w:qFormat/>
    <w:uiPriority w:val="99"/>
    <w:rPr>
      <w:sz w:val="21"/>
      <w:szCs w:val="21"/>
    </w:rPr>
  </w:style>
  <w:style w:type="paragraph" w:customStyle="1" w:styleId="12">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1"/>
    <w:unhideWhenUsed/>
    <w:qFormat/>
    <w:uiPriority w:val="99"/>
    <w:rPr>
      <w:rFonts w:ascii="Times New Roman" w:hAnsi="Times New Roman" w:eastAsia="宋体" w:cs="Times New Roman"/>
      <w:kern w:val="2"/>
      <w:sz w:val="21"/>
      <w:lang w:val="en-US" w:eastAsia="zh-CN" w:bidi="ar-SA"/>
    </w:rPr>
  </w:style>
  <w:style w:type="character" w:customStyle="1" w:styleId="15">
    <w:name w:val="批注框文本 字符"/>
    <w:link w:val="3"/>
    <w:qFormat/>
    <w:uiPriority w:val="0"/>
    <w:rPr>
      <w:rFonts w:ascii="Times New Roman" w:hAnsi="Times New Roman"/>
      <w:kern w:val="2"/>
      <w:sz w:val="18"/>
      <w:szCs w:val="18"/>
    </w:rPr>
  </w:style>
  <w:style w:type="character" w:customStyle="1" w:styleId="16">
    <w:name w:val="页眉 字符"/>
    <w:link w:val="5"/>
    <w:qFormat/>
    <w:uiPriority w:val="0"/>
    <w:rPr>
      <w:rFonts w:ascii="Times New Roman" w:hAnsi="Times New Roman"/>
      <w:kern w:val="2"/>
      <w:sz w:val="18"/>
      <w:szCs w:val="18"/>
    </w:rPr>
  </w:style>
  <w:style w:type="paragraph" w:customStyle="1" w:styleId="17">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16419</Words>
  <Characters>16764</Characters>
  <Lines>123</Lines>
  <Paragraphs>34</Paragraphs>
  <TotalTime>1</TotalTime>
  <ScaleCrop>false</ScaleCrop>
  <LinksUpToDate>false</LinksUpToDate>
  <CharactersWithSpaces>17058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2026-08-28T07:15:03Z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245DD10C82FC4A588ED968735A3B04E9</vt:lpwstr>
  </property>
  <property fmtid="{D5CDD505-2E9C-101B-9397-08002B2CF9AE}" pid="4" name="KSOTemplateDocerSaveRecord">
    <vt:lpwstr>eyJoZGlkIjoiM2U0YjRkNWE3M2M2MTQyMDQ4YTlmZmJkYWRhYjVhNzUiLCJ1c2VySWQiOiIxNzM3MDY1MDY5In0=</vt:lpwstr>
  </property>
</Properties>
</file>