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19020号开放式净值型银行理财计划产品说明书》、《温州银行“金鹿理财-温盈”19020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2019年9月5日</w:t>
            </w:r>
            <w:r>
              <w:rPr>
                <w:rFonts w:hint="eastAsia"/>
                <w:sz w:val="18"/>
                <w:szCs w:val="18"/>
                <w:u w:val="single"/>
              </w:rPr>
              <w:t>至</w:t>
            </w:r>
            <w:r>
              <w:rPr>
                <w:rFonts w:hint="eastAsia"/>
                <w:color w:val="000000"/>
                <w:sz w:val="18"/>
                <w:szCs w:val="18"/>
                <w:u w:val="single"/>
                <w:lang w:val="en-US" w:eastAsia="zh-CN"/>
              </w:rPr>
              <w:t>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19020号开放式净值型银行理财计划风险揭示书》、《温州银行“金鹿理财”银行理财计划合约》、《温州银行“金鹿理财-温盈”19020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bookmarkStart w:id="0" w:name="_GoBack"/>
      <w:bookmarkEnd w:id="0"/>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TW+5wG3e+8B8/VwtUMFFQx/7F0=" w:salt="UNP2FxagjLjdnwNXQok1P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7F28F2"/>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2026-07-24T08:03:56Z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