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9号开放式净值型银行理财计划产品说明书》、《温州银行“金鹿理财-普惠季享”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2021年7月20日</w:t>
            </w:r>
            <w:r>
              <w:rPr>
                <w:rFonts w:hint="eastAsia"/>
                <w:sz w:val="18"/>
                <w:szCs w:val="18"/>
                <w:u w:val="single"/>
              </w:rPr>
              <w:t>至</w:t>
            </w:r>
            <w:r>
              <w:rPr>
                <w:rFonts w:hint="eastAsia"/>
                <w:color w:val="000000"/>
                <w:sz w:val="18"/>
                <w:szCs w:val="18"/>
                <w:u w:val="single"/>
                <w:lang w:val="en-US" w:eastAsia="zh-CN"/>
              </w:rPr>
              <w:t>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9号开放式净值型银行理财计划风险揭示书》、《温州银行“金鹿理财”银行理财计划合约》、《温州银行“金鹿理财-普惠季享”9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tAndTequVDfmxN2L8YvjrIK/KY=" w:salt="ES5g3zpeGTcDtqVWr7sCH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3DD39E2"/>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0</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2026-07-10T07:52:28Z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