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26025</w:t>
      </w:r>
      <w:r>
        <w:rPr>
          <w:rFonts w:hint="eastAsia" w:ascii="黑体" w:eastAsia="黑体"/>
          <w:sz w:val="30"/>
          <w:szCs w:val="30"/>
        </w:rPr>
        <w:t>号（稳健低波款）</w:t>
      </w:r>
    </w:p>
    <w:p>
      <w:pPr>
        <w:spacing w:line="372" w:lineRule="auto"/>
        <w:jc w:val="center"/>
        <w:rPr>
          <w:rFonts w:ascii="宋体" w:hAnsi="宋体"/>
          <w:sz w:val="30"/>
          <w:szCs w:val="30"/>
        </w:rPr>
      </w:pP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26025</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26025</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26025</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26025</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本产品适合于经温州银行评估为稳健型、平衡型、进取型、激进型的个人投资者。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26025</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26025</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JW2625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C1092226000039</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2026年7月16日</w:t>
            </w:r>
            <w:r>
              <w:rPr>
                <w:rFonts w:hint="eastAsia"/>
                <w:sz w:val="18"/>
                <w:u w:val="single"/>
              </w:rPr>
              <w:t>至</w:t>
            </w:r>
            <w:r>
              <w:rPr>
                <w:color w:val="000000"/>
                <w:sz w:val="18"/>
                <w:u w:val="single"/>
              </w:rPr>
              <w:t>2026年7月22日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2026年7月23日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2027年8月26日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2.40%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rPr>
                <w:szCs w:val="21"/>
              </w:rPr>
            </w:pPr>
            <w:r>
              <w:rPr>
                <w:rFonts w:hint="eastAsia" w:ascii="宋体" w:hAnsi="宋体"/>
                <w:sz w:val="18"/>
                <w:szCs w:val="18"/>
                <w:lang w:eastAsia="zh-CN"/>
              </w:rPr>
              <w:t>单一投资者持有份额最高不超2000万，</w:t>
            </w:r>
            <w:r>
              <w:rPr>
                <w:rFonts w:hint="eastAsia" w:ascii="宋体" w:hAnsi="宋体"/>
                <w:sz w:val="18"/>
                <w:szCs w:val="18"/>
                <w:lang w:val="en-US" w:eastAsia="zh-CN"/>
              </w:rPr>
              <w:t>且</w:t>
            </w:r>
            <w:r>
              <w:rPr>
                <w:rFonts w:hint="eastAsia" w:ascii="宋体" w:hAnsi="宋体"/>
                <w:sz w:val="18"/>
                <w:szCs w:val="18"/>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w:t>
            </w:r>
            <w:r>
              <w:rPr>
                <w:rFonts w:hint="eastAsia"/>
                <w:sz w:val="18"/>
                <w:szCs w:val="18"/>
                <w:lang w:val="en-US" w:eastAsia="zh-CN"/>
              </w:rPr>
              <w:t>资金</w:t>
            </w:r>
            <w:r>
              <w:rPr>
                <w:rFonts w:hint="eastAsia"/>
                <w:sz w:val="18"/>
                <w:szCs w:val="18"/>
              </w:rPr>
              <w:t>清算期，</w:t>
            </w:r>
            <w:r>
              <w:rPr>
                <w:rFonts w:hint="eastAsia"/>
                <w:sz w:val="18"/>
                <w:szCs w:val="18"/>
                <w:lang w:val="en-US" w:eastAsia="zh-CN"/>
              </w:rPr>
              <w:t>资金</w:t>
            </w:r>
            <w:r>
              <w:rPr>
                <w:rFonts w:hint="eastAsia"/>
                <w:sz w:val="18"/>
                <w:szCs w:val="18"/>
              </w:rPr>
              <w:t>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本产品业绩比较基准为2.40%（年化）。本产品业绩比较基准仅作为计提产品浮动管理费的依据，不构成温州银行对该理财产品的任何收益承诺。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rPr>
        <w:t>2027年8月26日，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到期时扣除托管费、销售服务费、固定管理费及其他费用（如有）后，如产品净值为1.028，此时， (1.028/1.00-1)×365/399=2.56%&gt;2.4%，即投资收益超越业绩比较基准，则投资管理人对超过业绩比较基准部分收益收取浮动管理费，浮动管理费为：1,000,000.00×[1.028-1.00×(1+2.4%×399/365)]×80%=</w:t>
      </w:r>
      <w:r>
        <w:rPr>
          <w:rFonts w:hint="eastAsia"/>
          <w:sz w:val="18"/>
          <w:szCs w:val="18"/>
          <w:lang w:val="en-US" w:eastAsia="zh-CN"/>
        </w:rPr>
        <w:t>1411.51</w:t>
      </w:r>
      <w:r>
        <w:rPr>
          <w:rFonts w:hint="eastAsia"/>
          <w:sz w:val="18"/>
          <w:szCs w:val="18"/>
        </w:rPr>
        <w:t>（元）。扣除浮动管理费后，客户最终收益为：1,000,000.00×（1.028-1.00）-</w:t>
      </w:r>
      <w:r>
        <w:rPr>
          <w:rFonts w:hint="eastAsia"/>
          <w:sz w:val="18"/>
          <w:szCs w:val="18"/>
          <w:lang w:val="en-US" w:eastAsia="zh-CN"/>
        </w:rPr>
        <w:t>1411.51</w:t>
      </w:r>
      <w:r>
        <w:rPr>
          <w:rFonts w:hint="eastAsia"/>
          <w:sz w:val="18"/>
          <w:szCs w:val="18"/>
        </w:rPr>
        <w:t>=2</w:t>
      </w:r>
      <w:r>
        <w:rPr>
          <w:rFonts w:hint="eastAsia"/>
          <w:sz w:val="18"/>
          <w:szCs w:val="18"/>
          <w:lang w:val="en-US" w:eastAsia="zh-CN"/>
        </w:rPr>
        <w:t>6588.49</w:t>
      </w:r>
      <w:r>
        <w:rPr>
          <w:rFonts w:hint="eastAsia"/>
          <w:sz w:val="18"/>
          <w:szCs w:val="18"/>
        </w:rPr>
        <w:t>（元），产品到期时，客户获得的实际收益相当于达到年化收益率水平为：2</w:t>
      </w:r>
      <w:r>
        <w:rPr>
          <w:rFonts w:hint="eastAsia"/>
          <w:sz w:val="18"/>
          <w:szCs w:val="18"/>
          <w:lang w:val="en-US" w:eastAsia="zh-CN"/>
        </w:rPr>
        <w:t>6588.49</w:t>
      </w:r>
      <w:r>
        <w:rPr>
          <w:rFonts w:hint="eastAsia"/>
          <w:sz w:val="18"/>
          <w:szCs w:val="18"/>
        </w:rPr>
        <w:t>/1,000,000.00×365/399=2.4</w:t>
      </w:r>
      <w:r>
        <w:rPr>
          <w:rFonts w:hint="eastAsia"/>
          <w:sz w:val="18"/>
          <w:szCs w:val="18"/>
          <w:lang w:val="en-US" w:eastAsia="zh-CN"/>
        </w:rPr>
        <w:t>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到期时扣除托管费、销售服务费、固定管理费及其他费用（如有）后，如产品净值为1.025，此时，(1.025/1.00-1)×365/399=2.29%&lt;2.4%，即投资收益未达到业绩比较基准，则投资管理人不收取浮动管理费，客户最终收益为：1,000,000.00×(1.025-1.00）=25000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2.4%，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w:t>
      </w:r>
      <w:r>
        <w:rPr>
          <w:rFonts w:hint="eastAsia"/>
          <w:sz w:val="18"/>
          <w:szCs w:val="18"/>
        </w:rPr>
        <w:t>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26025</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d+Drcqnb8gOwYm3txOveE11lixI=" w:salt="J8k1zj8roMA6zUfahbviO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67F7A"/>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4A90ACE"/>
    <w:rsid w:val="05FC0197"/>
    <w:rsid w:val="06BE4814"/>
    <w:rsid w:val="06F87141"/>
    <w:rsid w:val="07BB40C7"/>
    <w:rsid w:val="07C843AC"/>
    <w:rsid w:val="08EF38EC"/>
    <w:rsid w:val="09446D7E"/>
    <w:rsid w:val="098062CC"/>
    <w:rsid w:val="0A0F12B9"/>
    <w:rsid w:val="0A1675AA"/>
    <w:rsid w:val="0A887557"/>
    <w:rsid w:val="0AC90772"/>
    <w:rsid w:val="0BF132A6"/>
    <w:rsid w:val="104F44D5"/>
    <w:rsid w:val="107F2121"/>
    <w:rsid w:val="10B17669"/>
    <w:rsid w:val="117B35A5"/>
    <w:rsid w:val="12A81C68"/>
    <w:rsid w:val="12B465CD"/>
    <w:rsid w:val="141472A9"/>
    <w:rsid w:val="14237D99"/>
    <w:rsid w:val="14F07B6A"/>
    <w:rsid w:val="17CF37DD"/>
    <w:rsid w:val="17FB0939"/>
    <w:rsid w:val="18377CAF"/>
    <w:rsid w:val="18AD336C"/>
    <w:rsid w:val="191D5323"/>
    <w:rsid w:val="19E25A8D"/>
    <w:rsid w:val="1A5F6148"/>
    <w:rsid w:val="1D13777C"/>
    <w:rsid w:val="1DFA3A85"/>
    <w:rsid w:val="1EBD7528"/>
    <w:rsid w:val="20DB6550"/>
    <w:rsid w:val="21751C04"/>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9766FF2"/>
    <w:rsid w:val="3A9532FB"/>
    <w:rsid w:val="3BBF210A"/>
    <w:rsid w:val="3C0741A4"/>
    <w:rsid w:val="3D150741"/>
    <w:rsid w:val="3D86300C"/>
    <w:rsid w:val="3E2566A4"/>
    <w:rsid w:val="3E32601D"/>
    <w:rsid w:val="3F7E5351"/>
    <w:rsid w:val="3FBD214F"/>
    <w:rsid w:val="4146226E"/>
    <w:rsid w:val="424649EA"/>
    <w:rsid w:val="43712A5A"/>
    <w:rsid w:val="438A31BB"/>
    <w:rsid w:val="4409550D"/>
    <w:rsid w:val="457F5E93"/>
    <w:rsid w:val="45DE6309"/>
    <w:rsid w:val="45FA54E8"/>
    <w:rsid w:val="462B298E"/>
    <w:rsid w:val="489032CB"/>
    <w:rsid w:val="4A9E63C2"/>
    <w:rsid w:val="4CBDE6D6"/>
    <w:rsid w:val="4EFE40C2"/>
    <w:rsid w:val="4F6568BD"/>
    <w:rsid w:val="54133033"/>
    <w:rsid w:val="546F0E0A"/>
    <w:rsid w:val="56865A7D"/>
    <w:rsid w:val="56AB5155"/>
    <w:rsid w:val="57313966"/>
    <w:rsid w:val="58A26889"/>
    <w:rsid w:val="592F0A9E"/>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737D56CE"/>
    <w:rsid w:val="75E218ED"/>
    <w:rsid w:val="76592994"/>
    <w:rsid w:val="76C23463"/>
    <w:rsid w:val="76CB15CB"/>
    <w:rsid w:val="77146595"/>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13012</Words>
  <Characters>13499</Characters>
  <Lines>100</Lines>
  <Paragraphs>28</Paragraphs>
  <TotalTime>0</TotalTime>
  <ScaleCrop>false</ScaleCrop>
  <LinksUpToDate>false</LinksUpToDate>
  <CharactersWithSpaces>13794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2026-07-10T07:41:24Z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