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Z7003223000093（投资者可依据该编码在中国理财网www.chinawealth.com.cn查询理财产品相关信息）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2023年05月24日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356,574,270.00份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广东粤财信托有限公司,中国对外经济贸易信托有限公司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98,874,391.32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133,385,930.95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146,761,312.33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截至报告期末，本产品Y60023份额净值为1.0613元，Y61023份额净值为1.0627元，Y62023份额净值为1.0642元。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206,574,911.57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XTDKX202407040002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粤财信托·瑞兴157号集合资金信托计划（第2期）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44,085,429.52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诸暨市城乡投资集团有限公司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粤财信托·瑞兴157号集合资金信托计划（第2期）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东台惠民城镇化建设集团有限公司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淮安新城投资开发集团有限公司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0120090000001168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南银理财鑫逸稳两年23期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产品支付关联方托管费0.00元，支付关联方代销费66,167.63元。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