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Z7003223000069（投资者可依据该编码在中国理财网www.chinawealth.com.cn查询理财产品相关信息）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221,244,184.00份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59,418,311.53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67,515,549.68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110,021,993.83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截至报告期末，本产品Y60018份额净值为1.0683元，Y61018份额净值为1.0725元，Y62018份额净值为1.0714元。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74,875,048.66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59,136,740.19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镇江城市建设产业集团有限公司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0120040000001137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产品支付关联方托管费0.00元，支付关联方代销费39,368.31元。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