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4A557F" w:rsidP="009726D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南银理财珠联璧合鑫逸稳一年127期封闭式公募人民币理财产品</w:t>
      </w:r>
    </w:p>
    <w:p w:rsidR="00820D16" w:rsidRDefault="004A557F" w:rsidP="009726D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2023</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9726DC">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南银理财珠联璧合鑫逸稳一年127期封闭式公募人民币理财产品</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Z7003223000150</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2023年08月09日</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1,512,263,200.00</w:t>
            </w:r>
            <w:r>
              <w:rPr>
                <w:rFonts w:ascii="方正仿宋简体" w:eastAsia="方正仿宋简体" w:hint="eastAsia"/>
                <w:sz w:val="24"/>
                <w:szCs w:val="24"/>
              </w:rPr>
              <w:t>份</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sz w:val="24"/>
                <w:szCs w:val="24"/>
              </w:rPr>
              <w:t>100.15%</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华鑫国际信托有限公司,江苏省国际信托有限责任公司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9726DC">
      <w:pPr>
        <w:spacing w:before="240" w:afterLines="30" w:line="360" w:lineRule="auto"/>
        <w:rPr>
          <w:rFonts w:ascii="方正仿宋简体" w:eastAsia="方正仿宋简体" w:hAnsi="Calibri"/>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820D16" w:rsidRDefault="004A557F" w:rsidP="009726D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2023年08月09日 - 2023年12月31日</w:t>
            </w:r>
            <w:r>
              <w:rPr>
                <w:rFonts w:ascii="方正仿宋简体" w:eastAsia="方正仿宋简体" w:hint="eastAsia"/>
                <w:sz w:val="24"/>
                <w:szCs w:val="24"/>
                <w:shd w:val="clear" w:color="auto" w:fill="FFFFFF"/>
              </w:rPr>
              <w:t>）</w:t>
            </w:r>
          </w:p>
        </w:tc>
      </w:tr>
      <w:tr w:rsidR="00820D16">
        <w:trPr>
          <w:jc w:val="center"/>
        </w:trPr>
        <w:tc>
          <w:tcPr>
            <w:tcW w:w="1413" w:type="dxa"/>
            <w:vMerge/>
            <w:vAlign w:val="center"/>
          </w:tcPr>
          <w:p w:rsidR="00820D16" w:rsidRDefault="00820D16" w:rsidP="009726DC">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Y30127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421,450,884.63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1.0147</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Y31127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519,296,842.15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Y32127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357,052,090.17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Y33127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237,531,118.75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四季度期间，10月中上旬政府债券供给放量，资金面边际收敛，叠加地产销售端政策进一步优化，债市情绪偏弱，利率上行，短端回升至年内高点，但从10月底以来，基本面修复偏弱，尤其是12月下旬存款利率调降等引发做多情绪，收益率走势震荡偏强。四季度债市收益率整体呈现下行状态，10年期国债收益率从10月初的2.67%降至12月底的2.56%的低点。信用债市场方面，“资产荒”延续，城投化债行情持续演绎，信用债表现优于利率债，收益率平坦化下行，预计在城投债供给缩量的背景下，后续信用债配置需求仍较为旺盛，走势料将偏强。</w:t>
        <w:br w:type="textWrapping" w:clear="all"/>
      </w:r>
      <w:r>
        <w:rPr>
          <w:rFonts w:ascii="方正仿宋简体" w:eastAsia="方正仿宋简体" w:hint="eastAsia"/>
          <w:sz w:val="24"/>
          <w:szCs w:val="24"/>
        </w:rPr>
        <w:t>  往后看，新旧动能转换之际，经济基本面偏弱的格局未有明显变化，债市大幅调整的风险可控，跨过年末时点，资金面压力明显缓释，债市情绪大概率企稳向好。随着地方债置换高票息的城投债，城投债大概率将日益稀缺，策略上将会积极把握信用债的票息价值，适时参与波段交易增厚收益。</w:t>
      </w:r>
      <w:r>
        <w:rPr>
          <w:rFonts w:ascii="方正仿宋简体" w:eastAsia="方正仿宋简体" w:hint="eastAsia"/>
          <w:sz w:val="24"/>
          <w:szCs w:val="24"/>
        </w:rPr>
        <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820D16" w:rsidRDefault="004A557F" w:rsidP="009726D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Y30127份额净值为1.0147元，Y31127份额净值为1.0151元，Y32127份额净值为1.0155元，Y33127份额净值为1.0159</w:t>
      </w:r>
      <w:r>
        <w:rPr>
          <w:rFonts w:ascii="方正仿宋简体" w:eastAsia="方正仿宋简体" w:hint="eastAsia"/>
          <w:sz w:val="24"/>
          <w:szCs w:val="24"/>
        </w:rPr>
        <w:t>元。</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w:t>
      </w:r>
      <w:r>
        <w:rPr>
          <w:rFonts w:ascii="方正仿宋简体" w:eastAsia="方正仿宋简体" w:hint="eastAsia"/>
          <w:b/>
          <w:sz w:val="24"/>
          <w:szCs w:val="24"/>
        </w:rPr>
        <w:t>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9726DC">
      <w:pPr>
        <w:spacing w:before="240" w:afterLines="30" w:line="360" w:lineRule="auto"/>
        <w:rPr>
          <w:rFonts w:ascii="方正仿宋简体" w:eastAsia="方正仿宋简体" w:cs="宋体"/>
          <w:kern w:val="0"/>
          <w:sz w:val="24"/>
          <w:szCs w:val="24"/>
        </w:rPr>
      </w:pP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ZJQTT202301090001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江苏信托鑫盈3号集合资金信托计划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796,182,105.15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51.86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23881894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23滨江投资14</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202,000,000.00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13.16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23881865</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23连云城建22</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13.03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23881949</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23钟楼新城04</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13.03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XTDKX202308250021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华鑫信托·嘉盈和颜5号集合资金信托计划（第2期）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101,100,000.00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6.58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23881850</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23海鸿投资08</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1.17</w:t>
            </w:r>
          </w:p>
        </w:tc>
      </w:tr>
    </w:tbl>
    <w:p w:rsidR="00820D16" w:rsidRDefault="00820D16" w:rsidP="009726DC">
      <w:pPr>
        <w:spacing w:before="240" w:afterLines="30" w:line="360" w:lineRule="auto"/>
        <w:rPr>
          <w:rFonts w:ascii="方正仿宋简体" w:eastAsia="方正仿宋简体" w:hAnsi="宋体" w:cs="宋体"/>
          <w:sz w:val="24"/>
          <w:szCs w:val="24"/>
          <w:shd w:val="clear" w:color="auto" w:fill="FFFFFF"/>
        </w:rPr>
      </w:pPr>
    </w:p>
    <w:p w:rsidR="00820D16" w:rsidRDefault="004A557F" w:rsidP="009726D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蚂蚁智信（杭州）信息技术有限公司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华鑫信托·嘉盈和颜5号集合资金信托计划（第2期）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南京滨江投资发展有限公司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23滨江投资14</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连云港市城建控股集团有限公司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23连云城建22</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江苏海鸿投资控股集团有限公司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23海鸿投资08</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按半年付息，到期还本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常州钟楼新城投资建设有限公司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23钟楼新城04</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0101090000000641</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南京银行南京分行南银理财鑫逸稳一年127期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602,000,000.00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产品应支付关联方托管费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元，应支付关联方代销费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110,907.24</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820D1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2023年12月31日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557F" w:rsidRDefault="004A557F" w:rsidP="00820D16">
      <w:r>
        <w:separator/>
      </w:r>
    </w:p>
  </w:endnote>
  <w:endnote w:type="continuationSeparator" w:id="1">
    <w:p w:rsidR="004A557F" w:rsidRDefault="004A557F"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557F" w:rsidRDefault="004A557F" w:rsidP="00820D16">
      <w:r>
        <w:separator/>
      </w:r>
    </w:p>
  </w:footnote>
  <w:footnote w:type="continuationSeparator" w:id="1">
    <w:p w:rsidR="004A557F" w:rsidRDefault="004A557F"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348</Words>
  <Characters>1985</Characters>
  <Application>Microsoft Office Word</Application>
  <DocSecurity>0</DocSecurity>
  <Lines>16</Lines>
  <Paragraphs>4</Paragraphs>
  <ScaleCrop>false</ScaleCrop>
  <Company>微软中国</Company>
  <LinksUpToDate>false</LinksUpToDate>
  <CharactersWithSpaces>2329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2024-04-28T07:56:00Z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