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南银理财珠联璧合鑫逸稳一年126期封闭式公募人民币理财产品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南银理财珠联璧合鑫逸稳一年126期封闭式公募人民币理财产品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Z7003223000139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2023年08月02日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1,332,362,380.00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2023年08月02日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327,655,560.05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483,638,637.47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363,646,083.35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180,146,818.54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Y30126份额净值为1.0165元，Y31126份额净值为1.0169元，Y32126份额净值为1.0173元，Y33126份额净值为1.0177</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432,579,032.81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264,847,902.04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23881850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23海鸿投资08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23881865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23连云城建22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23881833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23富港集团06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23881949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23钟楼新城04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23881834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23铜山城投05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3.69</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富港建设集团有限公司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23富港集团06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徐州市铜山区城市建设投资有限责任公司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23铜山城投05</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连云港市城建控股集团有限公司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23连云城建22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江苏海鸿投资控股集团有限公司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23海鸿投资08</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常州钟楼新城投资建设有限公司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23钟楼新城04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0101050000000619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1,060,000,000.00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121,944.95</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