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南银理财珠联璧合鑫逸稳一年119期封闭式公募人民币理财产品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南银理财珠联璧合鑫逸稳一年119期封闭式公募人民币理财产品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Z7003223000111</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2023年06月14日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796,804,710.00</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100.19%</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江苏省国际信托有限责任公司,中国对外经济贸易信托有限公司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2023年06月14日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Y30119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127,540,118.73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Y31119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202,330,307.24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Y32119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337,579,195.06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Y33119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146,479,115.77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适时参与波段交易增厚收益。</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Y30119份额净值为1.0205元，Y31119份额净值为1.0211元，Y32119份额净值为1.0217元，Y33119份额净值为1.0222</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337,401,337.31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41.45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23881454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23淮安交控06</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115,000,000.00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14.13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23881505</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23江宁经开09</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107,000,000.00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13.15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23881455</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23兰溪城投04</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12.29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81,966,181.67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23881563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23淮安国联11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58,000,000.00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7.13</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兰溪市城市投资集团有限公司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23兰溪城投04</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淮安市交通控股集团有限公司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23淮安交控06</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淮安市国有联合投资发展集团有限公司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23淮安国联11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南京江宁经济技术开发集团有限公司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23江宁经开09</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0101080000000571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南京银行南京分行南银理财鑫逸稳一年119期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322,000,000.00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112,019.99</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