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南银理财珠联璧合鑫逸稳一年115期封闭式公募人民币理财产品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南银理财珠联璧合鑫逸稳一年115期封闭式公募人民币理财产品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Z7003223000090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2023年05月17日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1,976,457,573.00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100.19%</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华鑫国际信托有限公司,江苏省国际信托有限责任公司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2023年05月17日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286,779,121.95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1.0237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709,901,146.85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710,847,863.49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Y33115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317,747,959.36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Y30115份额净值为1.0237元，Y31115份额净值为1.0243元，Y32115份额净值为1.0250元，Y33115份额净值为1.0256</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1,043,705,207.79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51.53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23881356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23西湖城建08</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23881403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23盐城交通17</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XTDKX202306050001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华鑫信托·嘉盈和颜5号集合资金信托计划（第1期）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153,555,000.00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23881384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23今世缘01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23881394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23泗洪城投02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23881270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23诸暨交通03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23881281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23泰州城建04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2.47</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今世缘集团有限公司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23今世缘01</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诸暨市交通基础设施建设有限公司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23诸暨交通03</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盐城市交通投资建设控股集团有限公司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23盐城交通17</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按半年付息，到期还本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泰州市城市建设投资集团有限公司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23泰州城建04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泗洪县城市建设投资经营集团有限公司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23泗洪城投02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杭州西湖城市建设投资集团有限公司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23西湖城建08</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0120050000001170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南银理财鑫逸稳一年115期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598,000,000.00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414,912.31</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