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1,812,773,614.00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2023年05月10日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311,325,985.84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608,298,808.23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624,100,045.14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320,354,078.68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Y30114份额净值为1.0273元，Y31114份额净值为1.0279元，Y32114份额净值为1.0286元，Y33114份额净值为1.0292</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590,771,906.79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375,477,557.93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23881270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23诸暨交通03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23881209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23泉山国投04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23881251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23881215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23宜兴环保02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23881196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23清江浦融合02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江苏宜兴环保科技工业园发展集团有限公司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23宜兴环保02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淮安市清江浦融合投资控股集团有限公司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23清江浦融合02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23诸暨交通03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徐州市泉山国有资产投资经营有限公司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23泉山国投04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0120090000001154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870,000,000.00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1,440,000,000.00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379,647.03</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