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南银理财珠联璧合鑫逸稳一年113期封闭式公募人民币理财产品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南银理财珠联璧合鑫逸稳一年113期封闭式公募人民币理财产品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Z7003223000081</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2023年04月26日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1,419,459,750.00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100.15%</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江苏省国际信托有限责任公司,中国对外经济贸易信托有限公司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2023年04月26日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Y30113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278,140,326.39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Y31113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472,337,574.09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Y32113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486,507,468.60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Y33113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224,704,676.05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Y30113份额净值为1.0287元，Y31113份额净值为1.0294元，Y32113份额净值为1.0301元，Y33113份额净值为1.0308</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441,090,598.21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30.18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309,125,663.92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21.15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23881083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23江苏新海连01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13.68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23881164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23安吉国控04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127,000,000.00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8.69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23881065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23陶都城发02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6.84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23881251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23兴化国投02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6.84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23881209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23泉山国投04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23881105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23诸暨城乡06</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23881108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23绍兴城改02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0.55</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浙江安吉国控建设发展集团有限公司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23安吉国控04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诸暨市城乡投资集团有限公司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23诸暨城乡06</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江苏新海连发展集团有限公司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23江苏新海连01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江苏陶都城市发展投资有限公司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23陶都城发02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绍兴市城中村改造建设投资有限公司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23绍兴城改02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泰州市兴化国有资产投资控股有限公司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23兴化国投02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徐州市泉山国有资产投资经营有限公司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23泉山国投04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0120010000001148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南银理财鑫逸稳一年113期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680,000,000.00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1,110,000,000.00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304,942.53</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